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520455</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cyan"/>
        </w:rPr>
      </w:pPr>
      <w:r>
        <w:rPr>
          <w:b/>
          <w:sz w:val="24"/>
          <w:szCs w:val="24"/>
          <w:highlight w:val="none"/>
          <w:lang w:eastAsia="zh-CN"/>
        </w:rPr>
        <w:t>Dallas, USA, Nov. 17-21</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szCs w:val="24"/>
          <w:highlight w:val="none"/>
        </w:rPr>
        <w:t xml:space="preserve">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core requirement and testing framework for beam management</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F519BD">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5691B28">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1C0CB2D">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RRM requirements for beam management.</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1A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E5A4294">
            <w:pPr>
              <w:rPr>
                <w:rFonts w:hint="default" w:ascii="Times New Roman" w:hAnsi="Times New Roman" w:eastAsia="游明朝" w:cs="Times New Roman"/>
                <w:b/>
                <w:sz w:val="20"/>
                <w:szCs w:val="20"/>
                <w:highlight w:val="none"/>
                <w:u w:val="single"/>
                <w:lang w:eastAsia="ja-JP"/>
              </w:rPr>
            </w:pPr>
            <w:r>
              <w:rPr>
                <w:rFonts w:hint="default" w:ascii="Times New Roman" w:hAnsi="Times New Roman" w:cs="Times New Roman"/>
                <w:b/>
                <w:sz w:val="20"/>
                <w:szCs w:val="20"/>
                <w:highlight w:val="none"/>
                <w:u w:val="single"/>
                <w:lang w:eastAsia="ko-KR"/>
              </w:rPr>
              <w:t xml:space="preserve">Issue 2-1: </w:t>
            </w:r>
            <w:r>
              <w:rPr>
                <w:rFonts w:hint="default" w:ascii="Times New Roman" w:hAnsi="Times New Roman" w:eastAsia="游明朝" w:cs="Times New Roman"/>
                <w:b/>
                <w:sz w:val="20"/>
                <w:szCs w:val="20"/>
                <w:highlight w:val="none"/>
                <w:u w:val="single"/>
                <w:lang w:eastAsia="ja-JP"/>
              </w:rPr>
              <w:t>Measurement period for inference – case 2</w:t>
            </w:r>
          </w:p>
          <w:p w14:paraId="27B900B5">
            <w:pPr>
              <w:rPr>
                <w:rFonts w:hint="default" w:ascii="Times New Roman" w:hAnsi="Times New Roman" w:eastAsia="游明朝" w:cs="Times New Roman"/>
                <w:iCs/>
                <w:sz w:val="20"/>
                <w:szCs w:val="20"/>
                <w:highlight w:val="none"/>
                <w:lang w:eastAsia="ja-JP"/>
              </w:rPr>
            </w:pPr>
            <w:r>
              <w:rPr>
                <w:rFonts w:hint="default" w:ascii="Times New Roman" w:hAnsi="Times New Roman" w:eastAsia="游明朝" w:cs="Times New Roman"/>
                <w:iCs/>
                <w:sz w:val="20"/>
                <w:szCs w:val="20"/>
                <w:highlight w:val="none"/>
                <w:lang w:eastAsia="ja-JP"/>
              </w:rPr>
              <w:t>Agreement:</w:t>
            </w:r>
          </w:p>
          <w:p w14:paraId="7F5CEA87">
            <w:pPr>
              <w:spacing w:after="120"/>
              <w:rPr>
                <w:rFonts w:hint="default" w:ascii="Times New Roman" w:hAnsi="Times New Roman" w:cs="Times New Roman"/>
                <w:iCs/>
                <w:sz w:val="20"/>
                <w:szCs w:val="20"/>
                <w:highlight w:val="none"/>
                <w:lang w:eastAsia="ja-JP"/>
              </w:rPr>
            </w:pPr>
            <w:r>
              <w:rPr>
                <w:rFonts w:hint="default" w:ascii="Times New Roman" w:hAnsi="Times New Roman" w:cs="Times New Roman"/>
                <w:iCs/>
                <w:sz w:val="20"/>
                <w:szCs w:val="20"/>
                <w:highlight w:val="none"/>
                <w:lang w:eastAsia="ja-JP"/>
              </w:rPr>
              <w:t>Measurement period for inference – case 2</w:t>
            </w:r>
          </w:p>
          <w:p w14:paraId="2A9E47E3">
            <w:pPr>
              <w:spacing w:after="120"/>
              <w:rPr>
                <w:rFonts w:hint="default" w:ascii="Times New Roman" w:hAnsi="Times New Roman" w:cs="Times New Roman"/>
                <w:iCs/>
                <w:sz w:val="20"/>
                <w:szCs w:val="20"/>
                <w:highlight w:val="none"/>
                <w:lang w:eastAsia="ja-JP"/>
              </w:rPr>
            </w:pPr>
            <w:r>
              <w:rPr>
                <w:rFonts w:hint="default" w:ascii="Times New Roman" w:hAnsi="Times New Roman" w:cs="Times New Roman"/>
                <w:iCs/>
                <w:sz w:val="20"/>
                <w:szCs w:val="20"/>
                <w:highlight w:val="none"/>
                <w:lang w:eastAsia="ja-JP"/>
              </w:rPr>
              <w:t>K(number of samples)*[M]*N*P</w:t>
            </w:r>
          </w:p>
          <w:p w14:paraId="15389946">
            <w:pPr>
              <w:spacing w:after="120"/>
              <w:ind w:firstLine="284"/>
              <w:rPr>
                <w:rFonts w:hint="default" w:ascii="Times New Roman" w:hAnsi="Times New Roman" w:cs="Times New Roman"/>
                <w:iCs/>
                <w:sz w:val="20"/>
                <w:szCs w:val="20"/>
                <w:highlight w:val="none"/>
                <w:lang w:eastAsia="ja-JP"/>
              </w:rPr>
            </w:pPr>
            <w:r>
              <w:rPr>
                <w:rFonts w:hint="default" w:ascii="Times New Roman" w:hAnsi="Times New Roman" w:cs="Times New Roman"/>
                <w:iCs/>
                <w:sz w:val="20"/>
                <w:szCs w:val="20"/>
                <w:highlight w:val="none"/>
                <w:lang w:eastAsia="ja-JP"/>
              </w:rPr>
              <w:t xml:space="preserve">K as defined by RAN1 </w:t>
            </w:r>
          </w:p>
          <w:p w14:paraId="7B1572EB">
            <w:pPr>
              <w:rPr>
                <w:rFonts w:hint="default" w:ascii="Times New Roman" w:hAnsi="Times New Roman" w:eastAsia="游明朝" w:cs="Times New Roman"/>
                <w:sz w:val="20"/>
                <w:szCs w:val="20"/>
                <w:highlight w:val="none"/>
                <w:lang w:eastAsia="ja-JP"/>
              </w:rPr>
            </w:pPr>
          </w:p>
          <w:p w14:paraId="518D7E2B">
            <w:pPr>
              <w:rPr>
                <w:rFonts w:hint="default" w:ascii="Times New Roman" w:hAnsi="Times New Roman" w:cs="Times New Roman"/>
                <w:b/>
                <w:sz w:val="20"/>
                <w:szCs w:val="20"/>
                <w:highlight w:val="none"/>
                <w:u w:val="single"/>
                <w:lang w:eastAsia="ko-KR"/>
              </w:rPr>
            </w:pPr>
            <w:r>
              <w:rPr>
                <w:rFonts w:hint="default" w:ascii="Times New Roman" w:hAnsi="Times New Roman" w:cs="Times New Roman"/>
                <w:b/>
                <w:sz w:val="20"/>
                <w:szCs w:val="20"/>
                <w:highlight w:val="none"/>
                <w:u w:val="single"/>
                <w:lang w:eastAsia="ko-KR"/>
              </w:rPr>
              <w:t xml:space="preserve">Issue 2-2: </w:t>
            </w:r>
            <w:r>
              <w:rPr>
                <w:rFonts w:hint="default" w:ascii="Times New Roman" w:hAnsi="Times New Roman" w:eastAsia="游明朝" w:cs="Times New Roman"/>
                <w:b/>
                <w:sz w:val="20"/>
                <w:szCs w:val="20"/>
                <w:highlight w:val="none"/>
                <w:u w:val="single"/>
                <w:lang w:eastAsia="ja-JP"/>
              </w:rPr>
              <w:t>Reporting delay</w:t>
            </w:r>
            <w:r>
              <w:rPr>
                <w:rFonts w:hint="default" w:ascii="Times New Roman" w:hAnsi="Times New Roman" w:cs="Times New Roman"/>
                <w:b/>
                <w:sz w:val="20"/>
                <w:szCs w:val="20"/>
                <w:highlight w:val="none"/>
                <w:u w:val="single"/>
                <w:lang w:eastAsia="ko-KR"/>
              </w:rPr>
              <w:t xml:space="preserve"> </w:t>
            </w:r>
          </w:p>
          <w:p w14:paraId="20ED5477">
            <w:pPr>
              <w:rPr>
                <w:rFonts w:hint="default" w:ascii="Times New Roman" w:hAnsi="Times New Roman" w:eastAsia="游明朝" w:cs="Times New Roman"/>
                <w:iCs/>
                <w:sz w:val="20"/>
                <w:szCs w:val="20"/>
                <w:highlight w:val="none"/>
                <w:lang w:eastAsia="ja-JP"/>
              </w:rPr>
            </w:pPr>
            <w:r>
              <w:rPr>
                <w:rFonts w:hint="default" w:ascii="Times New Roman" w:hAnsi="Times New Roman" w:eastAsia="游明朝" w:cs="Times New Roman"/>
                <w:iCs/>
                <w:sz w:val="20"/>
                <w:szCs w:val="20"/>
                <w:highlight w:val="none"/>
                <w:lang w:eastAsia="ja-JP"/>
              </w:rPr>
              <w:t>Agreement for reporting delay:</w:t>
            </w:r>
          </w:p>
          <w:p w14:paraId="4BCE19E5">
            <w:pPr>
              <w:rPr>
                <w:rFonts w:hint="default" w:ascii="Times New Roman" w:hAnsi="Times New Roman" w:eastAsia="游明朝" w:cs="Times New Roman"/>
                <w:iCs/>
                <w:sz w:val="20"/>
                <w:szCs w:val="20"/>
                <w:highlight w:val="none"/>
                <w:lang w:eastAsia="ja-JP"/>
              </w:rPr>
            </w:pPr>
            <w:r>
              <w:rPr>
                <w:rFonts w:hint="default" w:ascii="Times New Roman" w:hAnsi="Times New Roman" w:eastAsia="游明朝" w:cs="Times New Roman"/>
                <w:iCs/>
                <w:sz w:val="20"/>
                <w:szCs w:val="20"/>
                <w:highlight w:val="none"/>
                <w:lang w:eastAsia="ja-JP"/>
              </w:rPr>
              <w:t>Reuse d’ as to be agreed by RAN1</w:t>
            </w:r>
          </w:p>
          <w:p w14:paraId="3CC436AA">
            <w:pPr>
              <w:rPr>
                <w:rFonts w:hint="default" w:ascii="Times New Roman" w:hAnsi="Times New Roman" w:eastAsia="游明朝" w:cs="Times New Roman"/>
                <w:iCs/>
                <w:sz w:val="20"/>
                <w:szCs w:val="20"/>
                <w:highlight w:val="none"/>
                <w:lang w:eastAsia="ja-JP"/>
              </w:rPr>
            </w:pPr>
            <w:r>
              <w:rPr>
                <w:rFonts w:hint="default" w:ascii="Times New Roman" w:hAnsi="Times New Roman" w:eastAsia="游明朝" w:cs="Times New Roman"/>
                <w:iCs/>
                <w:sz w:val="20"/>
                <w:szCs w:val="20"/>
                <w:highlight w:val="none"/>
                <w:lang w:eastAsia="ja-JP"/>
              </w:rPr>
              <w:t>d’ to be added to the measurement period to reflect the extra time needed by the UE to perform inference</w:t>
            </w:r>
          </w:p>
          <w:p w14:paraId="4E71F4BE">
            <w:pPr>
              <w:rPr>
                <w:rFonts w:hint="default" w:ascii="Times New Roman" w:hAnsi="Times New Roman" w:eastAsia="游明朝" w:cs="Times New Roman"/>
                <w:iCs/>
                <w:sz w:val="20"/>
                <w:szCs w:val="20"/>
                <w:highlight w:val="none"/>
                <w:lang w:eastAsia="ja-JP"/>
              </w:rPr>
            </w:pPr>
            <w:r>
              <w:rPr>
                <w:rFonts w:hint="default" w:ascii="Times New Roman" w:hAnsi="Times New Roman" w:eastAsia="游明朝" w:cs="Times New Roman"/>
                <w:iCs/>
                <w:sz w:val="20"/>
                <w:szCs w:val="20"/>
                <w:highlight w:val="none"/>
                <w:lang w:eastAsia="ja-JP"/>
              </w:rPr>
              <w:t>Depending on the RAN1 specifications, d’ shall not be double counted in the overall delay for periodic, aperiodic or semi-persistent reporting</w:t>
            </w:r>
          </w:p>
          <w:p w14:paraId="04C706D3">
            <w:pPr>
              <w:rPr>
                <w:rFonts w:hint="default" w:ascii="Times New Roman" w:hAnsi="Times New Roman" w:eastAsia="游明朝" w:cs="Times New Roman"/>
                <w:iCs/>
                <w:sz w:val="20"/>
                <w:szCs w:val="20"/>
                <w:highlight w:val="none"/>
                <w:lang w:eastAsia="ja-JP"/>
              </w:rPr>
            </w:pPr>
            <w:r>
              <w:rPr>
                <w:rFonts w:hint="default" w:ascii="Times New Roman" w:hAnsi="Times New Roman" w:eastAsia="游明朝" w:cs="Times New Roman"/>
                <w:iCs/>
                <w:sz w:val="20"/>
                <w:szCs w:val="20"/>
                <w:highlight w:val="none"/>
                <w:lang w:eastAsia="ja-JP"/>
              </w:rPr>
              <w:t>Final specifications to be agreed after RAN1 includes d’ in the specs</w:t>
            </w:r>
          </w:p>
          <w:p w14:paraId="2F403DB0">
            <w:pPr>
              <w:rPr>
                <w:rFonts w:hint="default" w:ascii="Times New Roman" w:hAnsi="Times New Roman" w:eastAsia="游明朝" w:cs="Times New Roman"/>
                <w:sz w:val="20"/>
                <w:szCs w:val="20"/>
                <w:highlight w:val="none"/>
                <w:lang w:eastAsia="ja-JP"/>
              </w:rPr>
            </w:pPr>
          </w:p>
          <w:p w14:paraId="3CD32C37">
            <w:pPr>
              <w:rPr>
                <w:rFonts w:hint="default" w:ascii="Times New Roman" w:hAnsi="Times New Roman" w:eastAsia="游明朝" w:cs="Times New Roman"/>
                <w:b/>
                <w:sz w:val="20"/>
                <w:szCs w:val="20"/>
                <w:highlight w:val="none"/>
                <w:u w:val="single"/>
                <w:lang w:eastAsia="ja-JP"/>
              </w:rPr>
            </w:pPr>
            <w:r>
              <w:rPr>
                <w:rFonts w:hint="default" w:ascii="Times New Roman" w:hAnsi="Times New Roman" w:cs="Times New Roman"/>
                <w:b/>
                <w:sz w:val="20"/>
                <w:szCs w:val="20"/>
                <w:highlight w:val="none"/>
                <w:u w:val="single"/>
                <w:lang w:eastAsia="ko-KR"/>
              </w:rPr>
              <w:t>Issue 2-</w:t>
            </w:r>
            <w:r>
              <w:rPr>
                <w:rFonts w:hint="default" w:ascii="Times New Roman" w:hAnsi="Times New Roman" w:eastAsia="游明朝" w:cs="Times New Roman"/>
                <w:b/>
                <w:sz w:val="20"/>
                <w:szCs w:val="20"/>
                <w:highlight w:val="none"/>
                <w:u w:val="single"/>
                <w:lang w:eastAsia="ja-JP"/>
              </w:rPr>
              <w:t>3</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eastAsia="游明朝" w:cs="Times New Roman"/>
                <w:b/>
                <w:sz w:val="20"/>
                <w:szCs w:val="20"/>
                <w:highlight w:val="none"/>
                <w:u w:val="single"/>
                <w:lang w:eastAsia="ja-JP"/>
              </w:rPr>
              <w:t>Reporting delay requirements for monitoring</w:t>
            </w:r>
          </w:p>
          <w:p w14:paraId="320B9554">
            <w:pPr>
              <w:rPr>
                <w:rFonts w:hint="default" w:ascii="Times New Roman" w:hAnsi="Times New Roman" w:eastAsia="游明朝" w:cs="Times New Roman"/>
                <w:iCs/>
                <w:sz w:val="20"/>
                <w:szCs w:val="20"/>
                <w:highlight w:val="none"/>
                <w:lang w:eastAsia="ja-JP"/>
              </w:rPr>
            </w:pPr>
            <w:r>
              <w:rPr>
                <w:rFonts w:hint="default" w:ascii="Times New Roman" w:hAnsi="Times New Roman" w:eastAsia="游明朝" w:cs="Times New Roman"/>
                <w:iCs/>
                <w:sz w:val="20"/>
                <w:szCs w:val="20"/>
                <w:highlight w:val="none"/>
                <w:lang w:eastAsia="ja-JP"/>
              </w:rPr>
              <w:t>Agreement:</w:t>
            </w:r>
          </w:p>
          <w:p w14:paraId="016C75DC">
            <w:pPr>
              <w:rPr>
                <w:rFonts w:hint="default" w:ascii="Times New Roman" w:hAnsi="Times New Roman" w:eastAsia="游明朝" w:cs="Times New Roman"/>
                <w:iCs/>
                <w:sz w:val="20"/>
                <w:szCs w:val="20"/>
                <w:highlight w:val="none"/>
                <w:lang w:eastAsia="ja-JP"/>
              </w:rPr>
            </w:pPr>
            <w:r>
              <w:rPr>
                <w:rFonts w:hint="default" w:ascii="Times New Roman" w:hAnsi="Times New Roman" w:eastAsia="游明朝" w:cs="Times New Roman"/>
                <w:iCs/>
                <w:sz w:val="20"/>
                <w:szCs w:val="20"/>
                <w:highlight w:val="none"/>
                <w:lang w:eastAsia="ja-JP"/>
              </w:rPr>
              <w:t xml:space="preserve">Do not define any explicit requirements for reporting delay of RS-PAI performance monitoring metric. </w:t>
            </w:r>
          </w:p>
          <w:p w14:paraId="2C840BB0">
            <w:pPr>
              <w:spacing w:after="180" w:line="240" w:lineRule="exact"/>
              <w:rPr>
                <w:rFonts w:hint="default" w:ascii="Times New Roman" w:hAnsi="Times New Roman" w:eastAsia="等线" w:cs="Times New Roman"/>
                <w:bCs/>
                <w:iCs/>
                <w:sz w:val="20"/>
                <w:szCs w:val="20"/>
                <w:highlight w:val="none"/>
                <w:vertAlign w:val="baseline"/>
                <w:lang w:val="en-US" w:eastAsia="zh-CN"/>
              </w:rPr>
            </w:pPr>
          </w:p>
        </w:tc>
      </w:tr>
    </w:tbl>
    <w:p w14:paraId="17DCA341">
      <w:pPr>
        <w:spacing w:after="180" w:line="240" w:lineRule="exact"/>
        <w:rPr>
          <w:rFonts w:hint="eastAsia" w:ascii="Times New Roman" w:hAnsi="Times New Roman" w:eastAsia="等线"/>
          <w:bCs/>
          <w:iCs/>
          <w:sz w:val="20"/>
          <w:szCs w:val="20"/>
          <w:lang w:val="en-US" w:eastAsia="zh-CN"/>
        </w:rPr>
      </w:pPr>
    </w:p>
    <w:p w14:paraId="2A8E3A6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case 2 ( temporal downlink beam prediction for Set A of beams based on the historic measurement results of Set B of beams), it was agreed that the measurement period is related with K(number of samples)*[M]*N*P. M, N, P are same as legacy measurement requirement. The table below is the legacy L1-RSRP measurement period for serving cell. M is number of samples which is pending on network configuration. M=1 if higher layer parameter </w:t>
      </w:r>
      <w:r>
        <w:rPr>
          <w:rFonts w:hint="eastAsia" w:ascii="Times New Roman" w:hAnsi="Times New Roman" w:eastAsia="等线"/>
          <w:bCs/>
          <w:i/>
          <w:iCs w:val="0"/>
          <w:sz w:val="20"/>
          <w:szCs w:val="20"/>
          <w:lang w:val="en-US" w:eastAsia="zh-CN"/>
        </w:rPr>
        <w:t>timeRestrictionForChannelMeasurement</w:t>
      </w:r>
      <w:r>
        <w:rPr>
          <w:rFonts w:hint="eastAsia" w:ascii="Times New Roman" w:hAnsi="Times New Roman" w:eastAsia="等线"/>
          <w:bCs/>
          <w:iCs/>
          <w:sz w:val="20"/>
          <w:szCs w:val="20"/>
          <w:lang w:val="en-US" w:eastAsia="zh-CN"/>
        </w:rPr>
        <w:t xml:space="preserve"> is configured, and M=3 otherwise. N=8 which is about RX beam sweeping. P value is for SSB resource to be measured.  </w:t>
      </w:r>
    </w:p>
    <w:p w14:paraId="0DCC2B78">
      <w:pPr>
        <w:pStyle w:val="16"/>
        <w:rPr>
          <w:rFonts w:hint="default" w:ascii="Times New Roman" w:hAnsi="Times New Roman" w:cs="Times New Roman"/>
          <w:sz w:val="20"/>
          <w:szCs w:val="20"/>
        </w:rPr>
      </w:pPr>
      <w:r>
        <w:rPr>
          <w:rFonts w:hint="default" w:ascii="Times New Roman" w:hAnsi="Times New Roman" w:cs="Times New Roman"/>
          <w:sz w:val="20"/>
          <w:szCs w:val="20"/>
        </w:rPr>
        <w:t>Table 9.5.4.1-2: Measurement period T</w:t>
      </w:r>
      <w:r>
        <w:rPr>
          <w:rFonts w:hint="default" w:ascii="Times New Roman" w:hAnsi="Times New Roman" w:cs="Times New Roman"/>
          <w:sz w:val="20"/>
          <w:szCs w:val="20"/>
          <w:vertAlign w:val="subscript"/>
        </w:rPr>
        <w:t>L1-RSRP_Measurement_Period_SSB</w:t>
      </w:r>
      <w:r>
        <w:rPr>
          <w:rFonts w:hint="default" w:ascii="Times New Roman" w:hAnsi="Times New Roman" w:cs="Times New Roman"/>
          <w:sz w:val="20"/>
          <w:szCs w:val="20"/>
        </w:rPr>
        <w:t xml:space="preserve"> for FR2</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13A96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CAC51BD">
            <w:pPr>
              <w:pStyle w:val="17"/>
              <w:rPr>
                <w:rFonts w:hint="default" w:ascii="Times New Roman" w:hAnsi="Times New Roman" w:cs="Times New Roman"/>
                <w:sz w:val="20"/>
                <w:szCs w:val="20"/>
              </w:rPr>
            </w:pPr>
            <w:r>
              <w:rPr>
                <w:rFonts w:hint="default" w:ascii="Times New Roman" w:hAnsi="Times New Roman" w:cs="Times New Roman"/>
                <w:sz w:val="20"/>
                <w:szCs w:val="20"/>
              </w:rPr>
              <w:t>Configuration</w:t>
            </w:r>
          </w:p>
        </w:tc>
        <w:tc>
          <w:tcPr>
            <w:tcW w:w="4582" w:type="dxa"/>
            <w:tcBorders>
              <w:top w:val="single" w:color="auto" w:sz="4" w:space="0"/>
              <w:left w:val="single" w:color="auto" w:sz="4" w:space="0"/>
              <w:bottom w:val="single" w:color="auto" w:sz="4" w:space="0"/>
              <w:right w:val="single" w:color="auto" w:sz="4" w:space="0"/>
            </w:tcBorders>
          </w:tcPr>
          <w:p w14:paraId="29C8B3E0">
            <w:pPr>
              <w:pStyle w:val="17"/>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L1-RSRP_Measurement_Period_SSB</w:t>
            </w:r>
            <w:r>
              <w:rPr>
                <w:rFonts w:hint="default" w:ascii="Times New Roman" w:hAnsi="Times New Roman" w:cs="Times New Roman"/>
                <w:sz w:val="20"/>
                <w:szCs w:val="20"/>
              </w:rPr>
              <w:t xml:space="preserve"> (ms) </w:t>
            </w:r>
          </w:p>
        </w:tc>
      </w:tr>
      <w:tr w14:paraId="0350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4FD0BC2">
            <w:pPr>
              <w:pStyle w:val="18"/>
              <w:rPr>
                <w:rFonts w:hint="default" w:ascii="Times New Roman" w:hAnsi="Times New Roman" w:cs="Times New Roman"/>
                <w:sz w:val="20"/>
                <w:szCs w:val="20"/>
              </w:rPr>
            </w:pPr>
            <w:r>
              <w:rPr>
                <w:rFonts w:hint="default" w:ascii="Times New Roman" w:hAnsi="Times New Roman" w:cs="Times New Roman"/>
                <w:sz w:val="20"/>
                <w:szCs w:val="20"/>
              </w:rPr>
              <w:t>non-DRX</w:t>
            </w:r>
          </w:p>
        </w:tc>
        <w:tc>
          <w:tcPr>
            <w:tcW w:w="4582" w:type="dxa"/>
            <w:tcBorders>
              <w:top w:val="single" w:color="auto" w:sz="4" w:space="0"/>
              <w:left w:val="single" w:color="auto" w:sz="4" w:space="0"/>
              <w:bottom w:val="single" w:color="auto" w:sz="4" w:space="0"/>
              <w:right w:val="single" w:color="auto" w:sz="4" w:space="0"/>
            </w:tcBorders>
          </w:tcPr>
          <w:p w14:paraId="5AB8EC5D">
            <w:pPr>
              <w:pStyle w:val="18"/>
              <w:rPr>
                <w:rFonts w:hint="default" w:ascii="Times New Roman" w:hAnsi="Times New Roman" w:cs="Times New Roman"/>
                <w:sz w:val="20"/>
                <w:szCs w:val="20"/>
                <w:lang w:val="fr-FR"/>
              </w:rPr>
            </w:pPr>
            <w:r>
              <w:rPr>
                <w:rFonts w:hint="default" w:ascii="Times New Roman" w:hAnsi="Times New Roman" w:cs="Times New Roman"/>
                <w:sz w:val="20"/>
                <w:szCs w:val="20"/>
                <w:lang w:val="fr-FR"/>
              </w:rPr>
              <w:t>max(T</w:t>
            </w:r>
            <w:r>
              <w:rPr>
                <w:rFonts w:hint="default" w:ascii="Times New Roman" w:hAnsi="Times New Roman" w:cs="Times New Roman"/>
                <w:sz w:val="20"/>
                <w:szCs w:val="20"/>
                <w:vertAlign w:val="subscript"/>
                <w:lang w:val="fr-FR"/>
              </w:rPr>
              <w:t>Report</w:t>
            </w:r>
            <w:r>
              <w:rPr>
                <w:rFonts w:hint="default" w:ascii="Times New Roman" w:hAnsi="Times New Roman" w:cs="Times New Roman"/>
                <w:sz w:val="20"/>
                <w:szCs w:val="20"/>
                <w:lang w:val="fr-FR"/>
              </w:rPr>
              <w:t>, ceil(M*P*N)*T</w:t>
            </w:r>
            <w:r>
              <w:rPr>
                <w:rFonts w:hint="default" w:ascii="Times New Roman" w:hAnsi="Times New Roman" w:cs="Times New Roman"/>
                <w:sz w:val="20"/>
                <w:szCs w:val="20"/>
                <w:vertAlign w:val="subscript"/>
                <w:lang w:val="fr-FR"/>
              </w:rPr>
              <w:t>SSB</w:t>
            </w:r>
            <w:r>
              <w:rPr>
                <w:rFonts w:hint="default" w:ascii="Times New Roman" w:hAnsi="Times New Roman" w:cs="Times New Roman"/>
                <w:sz w:val="20"/>
                <w:szCs w:val="20"/>
                <w:lang w:val="fr-FR"/>
              </w:rPr>
              <w:t>)</w:t>
            </w:r>
          </w:p>
        </w:tc>
      </w:tr>
      <w:tr w14:paraId="1F65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508E6F1">
            <w:pPr>
              <w:pStyle w:val="18"/>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4582" w:type="dxa"/>
            <w:tcBorders>
              <w:top w:val="single" w:color="auto" w:sz="4" w:space="0"/>
              <w:left w:val="single" w:color="auto" w:sz="4" w:space="0"/>
              <w:bottom w:val="single" w:color="auto" w:sz="4" w:space="0"/>
              <w:right w:val="single" w:color="auto" w:sz="4" w:space="0"/>
            </w:tcBorders>
          </w:tcPr>
          <w:p w14:paraId="01907F07">
            <w:pPr>
              <w:pStyle w:val="18"/>
              <w:rPr>
                <w:rFonts w:hint="default" w:ascii="Times New Roman" w:hAnsi="Times New Roman" w:cs="Times New Roman"/>
                <w:sz w:val="20"/>
                <w:szCs w:val="20"/>
                <w:lang w:val="fr-FR"/>
              </w:rPr>
            </w:pPr>
            <w:r>
              <w:rPr>
                <w:rFonts w:hint="default" w:ascii="Times New Roman" w:hAnsi="Times New Roman" w:cs="Times New Roman"/>
                <w:sz w:val="20"/>
                <w:szCs w:val="20"/>
                <w:lang w:val="fr-FR"/>
              </w:rPr>
              <w:t>max(T</w:t>
            </w:r>
            <w:r>
              <w:rPr>
                <w:rFonts w:hint="default" w:ascii="Times New Roman" w:hAnsi="Times New Roman" w:cs="Times New Roman"/>
                <w:sz w:val="20"/>
                <w:szCs w:val="20"/>
                <w:vertAlign w:val="subscript"/>
                <w:lang w:val="fr-FR"/>
              </w:rPr>
              <w:t>Report</w:t>
            </w:r>
            <w:r>
              <w:rPr>
                <w:rFonts w:hint="default" w:ascii="Times New Roman" w:hAnsi="Times New Roman" w:cs="Times New Roman"/>
                <w:sz w:val="20"/>
                <w:szCs w:val="20"/>
                <w:lang w:val="fr-FR"/>
              </w:rPr>
              <w:t>, ceil(1.5*M*P*N)*max(T</w:t>
            </w:r>
            <w:r>
              <w:rPr>
                <w:rFonts w:hint="default" w:ascii="Times New Roman" w:hAnsi="Times New Roman" w:cs="Times New Roman"/>
                <w:sz w:val="20"/>
                <w:szCs w:val="20"/>
                <w:vertAlign w:val="subscript"/>
                <w:lang w:val="fr-FR"/>
              </w:rPr>
              <w:t>DRX</w:t>
            </w:r>
            <w:r>
              <w:rPr>
                <w:rFonts w:hint="default" w:ascii="Times New Roman" w:hAnsi="Times New Roman" w:cs="Times New Roman"/>
                <w:sz w:val="20"/>
                <w:szCs w:val="20"/>
                <w:lang w:val="fr-FR"/>
              </w:rPr>
              <w:t>,T</w:t>
            </w:r>
            <w:r>
              <w:rPr>
                <w:rFonts w:hint="default" w:ascii="Times New Roman" w:hAnsi="Times New Roman" w:cs="Times New Roman"/>
                <w:sz w:val="20"/>
                <w:szCs w:val="20"/>
                <w:vertAlign w:val="subscript"/>
                <w:lang w:val="fr-FR"/>
              </w:rPr>
              <w:t>SSB</w:t>
            </w:r>
            <w:r>
              <w:rPr>
                <w:rFonts w:hint="default" w:ascii="Times New Roman" w:hAnsi="Times New Roman" w:cs="Times New Roman"/>
                <w:sz w:val="20"/>
                <w:szCs w:val="20"/>
                <w:lang w:val="fr-FR"/>
              </w:rPr>
              <w:t>))</w:t>
            </w:r>
          </w:p>
        </w:tc>
      </w:tr>
      <w:tr w14:paraId="0E52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2756BFC">
            <w:pPr>
              <w:pStyle w:val="18"/>
              <w:rPr>
                <w:rFonts w:hint="default" w:ascii="Times New Roman" w:hAnsi="Times New Roman" w:cs="Times New Roman"/>
                <w:sz w:val="20"/>
                <w:szCs w:val="20"/>
              </w:rPr>
            </w:pPr>
            <w:r>
              <w:rPr>
                <w:rFonts w:hint="default" w:ascii="Times New Roman" w:hAnsi="Times New Roman" w:cs="Times New Roman"/>
                <w:sz w:val="20"/>
                <w:szCs w:val="20"/>
              </w:rPr>
              <w:t>DRX cycle &gt; 320 ms</w:t>
            </w:r>
          </w:p>
        </w:tc>
        <w:tc>
          <w:tcPr>
            <w:tcW w:w="4582" w:type="dxa"/>
            <w:tcBorders>
              <w:top w:val="single" w:color="auto" w:sz="4" w:space="0"/>
              <w:left w:val="single" w:color="auto" w:sz="4" w:space="0"/>
              <w:bottom w:val="single" w:color="auto" w:sz="4" w:space="0"/>
              <w:right w:val="single" w:color="auto" w:sz="4" w:space="0"/>
            </w:tcBorders>
          </w:tcPr>
          <w:p w14:paraId="0DBC5D42">
            <w:pPr>
              <w:pStyle w:val="18"/>
              <w:rPr>
                <w:rFonts w:hint="default" w:ascii="Times New Roman" w:hAnsi="Times New Roman" w:cs="Times New Roman"/>
                <w:sz w:val="20"/>
                <w:szCs w:val="20"/>
                <w:lang w:val="fr-FR"/>
              </w:rPr>
            </w:pPr>
            <w:r>
              <w:rPr>
                <w:rFonts w:hint="default" w:ascii="Times New Roman" w:hAnsi="Times New Roman" w:cs="Times New Roman"/>
                <w:sz w:val="20"/>
                <w:szCs w:val="20"/>
                <w:lang w:val="fr-FR"/>
              </w:rPr>
              <w:t>ceil(1.5*M*P*N)*T</w:t>
            </w:r>
            <w:r>
              <w:rPr>
                <w:rFonts w:hint="default" w:ascii="Times New Roman" w:hAnsi="Times New Roman" w:cs="Times New Roman"/>
                <w:sz w:val="20"/>
                <w:szCs w:val="20"/>
                <w:vertAlign w:val="subscript"/>
                <w:lang w:val="fr-FR"/>
              </w:rPr>
              <w:t>DRX</w:t>
            </w:r>
          </w:p>
        </w:tc>
      </w:tr>
      <w:tr w14:paraId="6B45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083B700A">
            <w:pPr>
              <w:pStyle w:val="20"/>
              <w:rPr>
                <w:rFonts w:hint="default" w:ascii="Times New Roman" w:hAnsi="Times New Roman" w:cs="Times New Roman"/>
                <w:sz w:val="20"/>
                <w:szCs w:val="20"/>
              </w:rPr>
            </w:pPr>
            <w:r>
              <w:rPr>
                <w:rFonts w:hint="default" w:ascii="Times New Roman" w:hAnsi="Times New Roman" w:cs="Times New Roman"/>
                <w:sz w:val="20"/>
                <w:szCs w:val="20"/>
                <w:lang w:eastAsia="en-GB"/>
              </w:rPr>
              <w:t>Note:</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SSB</w:t>
            </w:r>
            <w:r>
              <w:rPr>
                <w:rFonts w:hint="default" w:ascii="Times New Roman" w:hAnsi="Times New Roman" w:cs="Times New Roman"/>
                <w:sz w:val="20"/>
                <w:szCs w:val="20"/>
                <w:lang w:eastAsia="en-GB"/>
              </w:rPr>
              <w:t xml:space="preserve"> = </w:t>
            </w:r>
            <w:r>
              <w:rPr>
                <w:rFonts w:hint="default" w:ascii="Times New Roman" w:hAnsi="Times New Roman" w:cs="Times New Roman"/>
                <w:i/>
                <w:iCs/>
                <w:sz w:val="20"/>
                <w:szCs w:val="20"/>
                <w:lang w:eastAsia="en-GB"/>
              </w:rPr>
              <w:t>ssb-periodicityServingCell</w:t>
            </w:r>
            <w:r>
              <w:rPr>
                <w:rFonts w:hint="default" w:ascii="Times New Roman" w:hAnsi="Times New Roman" w:cs="Times New Roman"/>
                <w:sz w:val="20"/>
                <w:szCs w:val="20"/>
                <w:lang w:eastAsia="en-GB"/>
              </w:rPr>
              <w:t xml:space="preserve"> is the periodicity of the SSB-Index configured for L1-RSRP measurement if </w:t>
            </w:r>
            <w:r>
              <w:rPr>
                <w:rFonts w:hint="default" w:ascii="Times New Roman" w:hAnsi="Times New Roman" w:cs="Times New Roman"/>
                <w:sz w:val="20"/>
                <w:szCs w:val="20"/>
              </w:rPr>
              <w:t xml:space="preserve">UE not supporting </w:t>
            </w:r>
            <w:r>
              <w:rPr>
                <w:rFonts w:hint="default" w:ascii="Times New Roman" w:hAnsi="Times New Roman" w:cs="Times New Roman"/>
                <w:i/>
                <w:sz w:val="20"/>
                <w:szCs w:val="20"/>
              </w:rPr>
              <w:t>On-demand SSB operation</w:t>
            </w:r>
            <w:r>
              <w:rPr>
                <w:rFonts w:hint="default" w:ascii="Times New Roman" w:hAnsi="Times New Roman" w:cs="Times New Roman"/>
                <w:sz w:val="20"/>
                <w:szCs w:val="20"/>
              </w:rPr>
              <w:t xml:space="preserve"> or when OD-SSB transmission is not indicated, otherwise, </w:t>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SSB</w:t>
            </w:r>
            <w:r>
              <w:rPr>
                <w:rFonts w:hint="default" w:ascii="Times New Roman" w:hAnsi="Times New Roman" w:cs="Times New Roman"/>
                <w:sz w:val="20"/>
                <w:szCs w:val="20"/>
                <w:lang w:eastAsia="en-GB"/>
              </w:rPr>
              <w:t xml:space="preserve"> = </w:t>
            </w:r>
            <w:r>
              <w:rPr>
                <w:rFonts w:hint="default" w:ascii="Times New Roman" w:hAnsi="Times New Roman" w:cs="Times New Roman"/>
                <w:iCs/>
                <w:sz w:val="20"/>
                <w:szCs w:val="20"/>
                <w:lang w:eastAsia="en-GB"/>
              </w:rPr>
              <w:t>EMP</w:t>
            </w:r>
            <w:r>
              <w:rPr>
                <w:rFonts w:hint="default" w:ascii="Times New Roman" w:hAnsi="Times New Roman" w:cs="Times New Roman"/>
                <w:sz w:val="20"/>
                <w:szCs w:val="20"/>
                <w:lang w:eastAsia="en-GB"/>
              </w:rPr>
              <w:t xml:space="preserve"> of the SSB index configured for L1-RSRP measurement. T</w:t>
            </w:r>
            <w:r>
              <w:rPr>
                <w:rFonts w:hint="default" w:ascii="Times New Roman" w:hAnsi="Times New Roman" w:cs="Times New Roman"/>
                <w:sz w:val="20"/>
                <w:szCs w:val="20"/>
                <w:vertAlign w:val="subscript"/>
                <w:lang w:eastAsia="en-GB"/>
              </w:rPr>
              <w:t>DRX</w:t>
            </w:r>
            <w:r>
              <w:rPr>
                <w:rFonts w:hint="default" w:ascii="Times New Roman" w:hAnsi="Times New Roman" w:cs="Times New Roman"/>
                <w:sz w:val="20"/>
                <w:szCs w:val="20"/>
                <w:lang w:eastAsia="en-GB"/>
              </w:rPr>
              <w:t xml:space="preserve"> is the DRX cycle length. T</w:t>
            </w:r>
            <w:r>
              <w:rPr>
                <w:rFonts w:hint="default" w:ascii="Times New Roman" w:hAnsi="Times New Roman" w:cs="Times New Roman"/>
                <w:sz w:val="20"/>
                <w:szCs w:val="20"/>
                <w:vertAlign w:val="subscript"/>
                <w:lang w:eastAsia="en-GB"/>
              </w:rPr>
              <w:t>Report</w:t>
            </w:r>
            <w:r>
              <w:rPr>
                <w:rFonts w:hint="default" w:ascii="Times New Roman" w:hAnsi="Times New Roman" w:cs="Times New Roman"/>
                <w:sz w:val="20"/>
                <w:szCs w:val="20"/>
                <w:lang w:eastAsia="en-GB"/>
              </w:rPr>
              <w:t xml:space="preserve"> is configured periodicity for reporting.</w:t>
            </w:r>
          </w:p>
        </w:tc>
      </w:tr>
    </w:tbl>
    <w:p w14:paraId="63615D12">
      <w:pPr>
        <w:spacing w:after="180" w:line="240" w:lineRule="exact"/>
        <w:rPr>
          <w:rFonts w:hint="eastAsia" w:ascii="Times New Roman" w:hAnsi="Times New Roman" w:eastAsia="等线"/>
          <w:bCs/>
          <w:iCs/>
          <w:sz w:val="20"/>
          <w:szCs w:val="20"/>
          <w:lang w:val="en-US" w:eastAsia="zh-CN"/>
        </w:rPr>
      </w:pPr>
    </w:p>
    <w:p w14:paraId="79F45AA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K is defined by RAN1, which is K</w:t>
      </w:r>
      <w:r>
        <w:rPr>
          <w:rFonts w:hint="eastAsia" w:ascii="Times New Roman" w:hAnsi="Times New Roman" w:eastAsia="等线"/>
          <w:bCs/>
          <w:iCs/>
          <w:sz w:val="20"/>
          <w:szCs w:val="20"/>
          <w:vertAlign w:val="subscript"/>
          <w:lang w:val="en-US" w:eastAsia="zh-CN"/>
        </w:rPr>
        <w:t>BM</w:t>
      </w:r>
      <w:r>
        <w:rPr>
          <w:rFonts w:hint="eastAsia" w:ascii="Times New Roman" w:hAnsi="Times New Roman" w:eastAsia="等线"/>
          <w:bCs/>
          <w:iCs/>
          <w:sz w:val="20"/>
          <w:szCs w:val="20"/>
          <w:lang w:val="en-US" w:eastAsia="zh-CN"/>
        </w:rPr>
        <w:t xml:space="preserve"> in RAN1 spec. According to RAN1 spec TS38.214, </w:t>
      </w:r>
      <w:r>
        <w:rPr>
          <w:rFonts w:hint="default" w:ascii="Times New Roman" w:hAnsi="Times New Roman" w:cs="Times New Roman"/>
          <w:color w:val="000000" w:themeColor="text1"/>
          <w:sz w:val="20"/>
          <w:szCs w:val="20"/>
          <w:highlight w:val="none"/>
          <w14:textFill>
            <w14:solidFill>
              <w14:schemeClr w14:val="tx1"/>
            </w14:solidFill>
          </w14:textFill>
        </w:rPr>
        <w:t xml:space="preserve">the UE reports a CSI report only if receiving at least </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K</w:t>
      </w:r>
      <w:r>
        <w:rPr>
          <w:rFonts w:hint="default" w:ascii="Times New Roman" w:hAnsi="Times New Roman" w:cs="Times New Roman"/>
          <w:color w:val="000000" w:themeColor="text1"/>
          <w:sz w:val="20"/>
          <w:szCs w:val="20"/>
          <w:highlight w:val="none"/>
          <w:vertAlign w:val="subscript"/>
          <w14:textFill>
            <w14:solidFill>
              <w14:schemeClr w14:val="tx1"/>
            </w14:solidFill>
          </w14:textFill>
        </w:rPr>
        <w:t>BM</w:t>
      </w:r>
      <w:r>
        <w:rPr>
          <w:rFonts w:hint="default" w:ascii="Times New Roman" w:hAnsi="Times New Roman" w:cs="Times New Roman"/>
          <w:i/>
          <w:iCs/>
          <w:color w:val="000000" w:themeColor="text1"/>
          <w:sz w:val="20"/>
          <w:szCs w:val="20"/>
          <w:highlight w:val="none"/>
          <w14:textFill>
            <w14:solidFill>
              <w14:schemeClr w14:val="tx1"/>
            </w14:solidFill>
          </w14:textFill>
        </w:rPr>
        <w:t xml:space="preserve"> </w:t>
      </w:r>
      <w:r>
        <w:rPr>
          <w:rFonts w:hint="default" w:ascii="Times New Roman" w:hAnsi="Times New Roman" w:cs="Times New Roman"/>
          <w:color w:val="000000" w:themeColor="text1"/>
          <w:sz w:val="20"/>
          <w:szCs w:val="20"/>
          <w:highlight w:val="none"/>
          <w14:textFill>
            <w14:solidFill>
              <w14:schemeClr w14:val="tx1"/>
            </w14:solidFill>
          </w14:textFill>
        </w:rPr>
        <w:t>latest consecutive transmission occasion(s) for each of the CSI-RS resources</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It can be seen that K</w:t>
      </w:r>
      <w:r>
        <w:rPr>
          <w:rFonts w:hint="default" w:ascii="Times New Roman" w:hAnsi="Times New Roman" w:cs="Times New Roman"/>
          <w:color w:val="000000" w:themeColor="text1"/>
          <w:sz w:val="20"/>
          <w:szCs w:val="20"/>
          <w:highlight w:val="none"/>
          <w:vertAlign w:val="subscript"/>
          <w14:textFill>
            <w14:solidFill>
              <w14:schemeClr w14:val="tx1"/>
            </w14:solidFill>
          </w14:textFill>
        </w:rPr>
        <w:t>BM</w:t>
      </w:r>
      <w:r>
        <w:rPr>
          <w:rFonts w:hint="eastAsia" w:ascii="Times New Roman" w:hAnsi="Times New Roman" w:cs="Times New Roman"/>
          <w:color w:val="000000" w:themeColor="text1"/>
          <w:sz w:val="20"/>
          <w:szCs w:val="20"/>
          <w:highlight w:val="none"/>
          <w:vertAlign w:val="baseline"/>
          <w:lang w:val="en-US" w:eastAsia="zh-CN"/>
          <w14:textFill>
            <w14:solidFill>
              <w14:schemeClr w14:val="tx1"/>
            </w14:solidFill>
          </w14:textFill>
        </w:rPr>
        <w:t xml:space="preserve"> is the </w:t>
      </w:r>
      <w:r>
        <w:rPr>
          <w:rFonts w:hint="eastAsia" w:ascii="Times New Roman" w:hAnsi="Times New Roman" w:eastAsia="等线"/>
          <w:bCs/>
          <w:iCs/>
          <w:sz w:val="20"/>
          <w:szCs w:val="20"/>
          <w:lang w:val="en-US" w:eastAsia="zh-CN"/>
        </w:rPr>
        <w:t xml:space="preserve">the number of samples to be measured. In summary, both M and </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K</w:t>
      </w:r>
      <w:r>
        <w:rPr>
          <w:rFonts w:hint="default" w:ascii="Times New Roman" w:hAnsi="Times New Roman" w:cs="Times New Roman"/>
          <w:color w:val="000000" w:themeColor="text1"/>
          <w:sz w:val="20"/>
          <w:szCs w:val="20"/>
          <w:highlight w:val="none"/>
          <w:vertAlign w:val="subscript"/>
          <w14:textFill>
            <w14:solidFill>
              <w14:schemeClr w14:val="tx1"/>
            </w14:solidFill>
          </w14:textFill>
        </w:rPr>
        <w:t>BM</w:t>
      </w:r>
      <w:r>
        <w:rPr>
          <w:rFonts w:hint="eastAsia" w:ascii="Times New Roman" w:hAnsi="Times New Roman" w:cs="Times New Roman"/>
          <w:color w:val="000000" w:themeColor="text1"/>
          <w:sz w:val="20"/>
          <w:szCs w:val="20"/>
          <w:highlight w:val="none"/>
          <w:vertAlign w:val="subscript"/>
          <w:lang w:val="en-US" w:eastAsia="zh-CN"/>
          <w14:textFill>
            <w14:solidFill>
              <w14:schemeClr w14:val="tx1"/>
            </w14:solidFill>
          </w14:textFill>
        </w:rPr>
        <w:t xml:space="preserve"> </w:t>
      </w:r>
      <w:r>
        <w:rPr>
          <w:rFonts w:hint="eastAsia" w:ascii="Times New Roman" w:hAnsi="Times New Roman" w:eastAsia="等线"/>
          <w:bCs/>
          <w:iCs/>
          <w:sz w:val="20"/>
          <w:szCs w:val="20"/>
          <w:lang w:val="en-US" w:eastAsia="zh-CN"/>
        </w:rPr>
        <w:t xml:space="preserve">are the number of samples. We do not need both. Since </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K</w:t>
      </w:r>
      <w:r>
        <w:rPr>
          <w:rFonts w:hint="default" w:ascii="Times New Roman" w:hAnsi="Times New Roman" w:cs="Times New Roman"/>
          <w:color w:val="000000" w:themeColor="text1"/>
          <w:sz w:val="20"/>
          <w:szCs w:val="20"/>
          <w:highlight w:val="none"/>
          <w:vertAlign w:val="subscript"/>
          <w14:textFill>
            <w14:solidFill>
              <w14:schemeClr w14:val="tx1"/>
            </w14:solidFill>
          </w14:textFill>
        </w:rPr>
        <w:t>BM</w:t>
      </w:r>
      <w:r>
        <w:rPr>
          <w:rFonts w:hint="eastAsia" w:ascii="Times New Roman" w:hAnsi="Times New Roman" w:cs="Times New Roman"/>
          <w:color w:val="000000" w:themeColor="text1"/>
          <w:sz w:val="20"/>
          <w:szCs w:val="20"/>
          <w:highlight w:val="none"/>
          <w:vertAlign w:val="subscript"/>
          <w:lang w:val="en-US" w:eastAsia="zh-CN"/>
          <w14:textFill>
            <w14:solidFill>
              <w14:schemeClr w14:val="tx1"/>
            </w14:solidFill>
          </w14:textFill>
        </w:rPr>
        <w:t xml:space="preserve"> </w:t>
      </w:r>
      <w:r>
        <w:rPr>
          <w:rFonts w:hint="eastAsia" w:ascii="Times New Roman" w:hAnsi="Times New Roman" w:eastAsia="等线"/>
          <w:bCs/>
          <w:iCs/>
          <w:sz w:val="20"/>
          <w:szCs w:val="20"/>
          <w:lang w:val="en-US" w:eastAsia="zh-CN"/>
        </w:rPr>
        <w:t xml:space="preserve">is introduced by RAN1, and M is used for legacy measurement, M can be removed.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1B4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F2F66E4">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TS 38.214</w:t>
            </w:r>
            <w:r>
              <w:rPr>
                <w:rFonts w:hint="eastAsia" w:ascii="Times New Roman" w:hAnsi="Times New Roman" w:eastAsia="等线" w:cs="Times New Roman"/>
                <w:b/>
                <w:bCs w:val="0"/>
                <w:iCs/>
                <w:sz w:val="20"/>
                <w:szCs w:val="20"/>
                <w:vertAlign w:val="baseline"/>
                <w:lang w:val="en-US" w:eastAsia="zh-CN"/>
              </w:rPr>
              <w:t>, clause</w:t>
            </w:r>
            <w:r>
              <w:rPr>
                <w:rFonts w:hint="eastAsia" w:ascii="Times New Roman" w:hAnsi="Times New Roman" w:cs="Times New Roman"/>
                <w:b/>
                <w:bCs w:val="0"/>
                <w:color w:val="000000" w:themeColor="text1"/>
                <w:sz w:val="20"/>
                <w:szCs w:val="20"/>
                <w:lang w:val="en-US" w:eastAsia="zh-CN"/>
                <w14:textFill>
                  <w14:solidFill>
                    <w14:schemeClr w14:val="tx1"/>
                  </w14:solidFill>
                </w14:textFill>
              </w:rPr>
              <w:t xml:space="preserve"> </w:t>
            </w:r>
            <w:r>
              <w:rPr>
                <w:rFonts w:hint="default" w:ascii="Times New Roman" w:hAnsi="Times New Roman" w:cs="Times New Roman"/>
                <w:b/>
                <w:bCs w:val="0"/>
                <w:color w:val="000000" w:themeColor="text1"/>
                <w:sz w:val="20"/>
                <w:szCs w:val="20"/>
                <w14:textFill>
                  <w14:solidFill>
                    <w14:schemeClr w14:val="tx1"/>
                  </w14:solidFill>
                </w14:textFill>
              </w:rPr>
              <w:t>5.2.2.5</w:t>
            </w:r>
          </w:p>
          <w:p w14:paraId="0071A976">
            <w:p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For a </w:t>
            </w:r>
            <w:r>
              <w:rPr>
                <w:rFonts w:hint="default" w:ascii="Times New Roman" w:hAnsi="Times New Roman" w:cs="Times New Roman"/>
                <w:i/>
                <w:iCs/>
                <w:color w:val="000000" w:themeColor="text1"/>
                <w:sz w:val="20"/>
                <w:szCs w:val="20"/>
                <w14:textFill>
                  <w14:solidFill>
                    <w14:schemeClr w14:val="tx1"/>
                  </w14:solidFill>
                </w14:textFill>
              </w:rPr>
              <w:t xml:space="preserve">CSI-ReportConfig </w:t>
            </w:r>
            <w:r>
              <w:rPr>
                <w:rFonts w:hint="default" w:ascii="Times New Roman" w:hAnsi="Times New Roman" w:cs="Times New Roman"/>
                <w:color w:val="000000" w:themeColor="text1"/>
                <w:sz w:val="20"/>
                <w:szCs w:val="20"/>
                <w14:textFill>
                  <w14:solidFill>
                    <w14:schemeClr w14:val="tx1"/>
                  </w14:solidFill>
                </w14:textFill>
              </w:rPr>
              <w:t xml:space="preserve">configured with the higher layer parameter </w:t>
            </w:r>
            <w:r>
              <w:rPr>
                <w:rFonts w:hint="default" w:ascii="Times New Roman" w:hAnsi="Times New Roman" w:cs="Times New Roman"/>
                <w:i/>
                <w:iCs/>
                <w:color w:val="000000" w:themeColor="text1"/>
                <w:sz w:val="20"/>
                <w:szCs w:val="20"/>
                <w14:textFill>
                  <w14:solidFill>
                    <w14:schemeClr w14:val="tx1"/>
                  </w14:solidFill>
                </w14:textFill>
              </w:rPr>
              <w:t xml:space="preserve">reportQuantity </w:t>
            </w:r>
            <w:r>
              <w:rPr>
                <w:rFonts w:hint="default" w:ascii="Times New Roman" w:hAnsi="Times New Roman" w:cs="Times New Roman"/>
                <w:color w:val="000000" w:themeColor="text1"/>
                <w:sz w:val="20"/>
                <w:szCs w:val="20"/>
                <w14:textFill>
                  <w14:solidFill>
                    <w14:schemeClr w14:val="tx1"/>
                  </w14:solidFill>
                </w14:textFill>
              </w:rPr>
              <w:t>set to 'p-cri-r19', 'p-cri-RSRP-r19', 'p-ssb-index-r19' or 'p-ssb-index-RSRP-r19' and with</w:t>
            </w:r>
            <w:r>
              <w:rPr>
                <w:rFonts w:hint="default" w:ascii="Times New Roman" w:hAnsi="Times New Roman" w:cs="Times New Roman"/>
                <w:i/>
                <w:iCs/>
                <w:color w:val="000000" w:themeColor="text1"/>
                <w:sz w:val="20"/>
                <w:szCs w:val="20"/>
                <w14:textFill>
                  <w14:solidFill>
                    <w14:schemeClr w14:val="tx1"/>
                  </w14:solidFill>
                </w14:textFill>
              </w:rPr>
              <w:t xml:space="preserve"> nroftimeinstance-r19 </w:t>
            </w:r>
            <w:r>
              <w:rPr>
                <w:rFonts w:hint="default" w:ascii="Times New Roman" w:hAnsi="Times New Roman" w:cs="Times New Roman"/>
                <w:color w:val="000000" w:themeColor="text1"/>
                <w:sz w:val="20"/>
                <w:szCs w:val="20"/>
                <w14:textFill>
                  <w14:solidFill>
                    <w14:schemeClr w14:val="tx1"/>
                  </w14:solidFill>
                </w14:textFill>
              </w:rPr>
              <w:t>is configured, after the CSI report (re)configuration, serving cell activation, BWP change, or activation of SP-CSI,</w:t>
            </w:r>
            <w:r>
              <w:rPr>
                <w:rFonts w:hint="default" w:ascii="Times New Roman" w:hAnsi="Times New Roman" w:cs="Times New Roman"/>
                <w:color w:val="000000" w:themeColor="text1"/>
                <w:sz w:val="20"/>
                <w:szCs w:val="20"/>
                <w:highlight w:val="cyan"/>
                <w14:textFill>
                  <w14:solidFill>
                    <w14:schemeClr w14:val="tx1"/>
                  </w14:solidFill>
                </w14:textFill>
              </w:rPr>
              <w:t xml:space="preserve"> the UE reports a CSI report only if receiving at least </w:t>
            </w:r>
            <w:r>
              <w:rPr>
                <w:rFonts w:hint="eastAsia" w:ascii="Times New Roman" w:hAnsi="Times New Roman" w:cs="Times New Roman"/>
                <w:color w:val="000000" w:themeColor="text1"/>
                <w:sz w:val="20"/>
                <w:szCs w:val="20"/>
                <w:highlight w:val="cyan"/>
                <w:lang w:val="en-US" w:eastAsia="zh-CN"/>
                <w14:textFill>
                  <w14:solidFill>
                    <w14:schemeClr w14:val="tx1"/>
                  </w14:solidFill>
                </w14:textFill>
              </w:rPr>
              <w:t>K</w:t>
            </w:r>
            <w:r>
              <w:rPr>
                <w:rFonts w:hint="default" w:ascii="Times New Roman" w:hAnsi="Times New Roman" w:cs="Times New Roman"/>
                <w:color w:val="000000" w:themeColor="text1"/>
                <w:sz w:val="20"/>
                <w:szCs w:val="20"/>
                <w:highlight w:val="cyan"/>
                <w:vertAlign w:val="subscript"/>
                <w14:textFill>
                  <w14:solidFill>
                    <w14:schemeClr w14:val="tx1"/>
                  </w14:solidFill>
                </w14:textFill>
              </w:rPr>
              <w:t>BM</w:t>
            </w:r>
            <w:r>
              <w:rPr>
                <w:rFonts w:hint="default" w:ascii="Times New Roman" w:hAnsi="Times New Roman" w:cs="Times New Roman"/>
                <w:i/>
                <w:iCs/>
                <w:color w:val="000000" w:themeColor="text1"/>
                <w:sz w:val="20"/>
                <w:szCs w:val="20"/>
                <w:highlight w:val="cyan"/>
                <w14:textFill>
                  <w14:solidFill>
                    <w14:schemeClr w14:val="tx1"/>
                  </w14:solidFill>
                </w14:textFill>
              </w:rPr>
              <w:t xml:space="preserve"> </w:t>
            </w:r>
            <w:r>
              <w:rPr>
                <w:rFonts w:hint="default" w:ascii="Times New Roman" w:hAnsi="Times New Roman" w:cs="Times New Roman"/>
                <w:color w:val="000000" w:themeColor="text1"/>
                <w:sz w:val="20"/>
                <w:szCs w:val="20"/>
                <w:highlight w:val="cyan"/>
                <w14:textFill>
                  <w14:solidFill>
                    <w14:schemeClr w14:val="tx1"/>
                  </w14:solidFill>
                </w14:textFill>
              </w:rPr>
              <w:t>latest consecutive transmission occasion(s) for each of the CSI-RS resources</w:t>
            </w:r>
            <w:r>
              <w:rPr>
                <w:rFonts w:hint="default" w:ascii="Times New Roman" w:hAnsi="Times New Roman" w:cs="Times New Roman"/>
                <w:color w:val="000000" w:themeColor="text1"/>
                <w:sz w:val="20"/>
                <w:szCs w:val="20"/>
                <w14:textFill>
                  <w14:solidFill>
                    <w14:schemeClr w14:val="tx1"/>
                  </w14:solidFill>
                </w14:textFill>
              </w:rPr>
              <w:t xml:space="preserve"> or SS/PBCH Block resources in the corresponding resource set for channel measurement no later than the CSI reference resource, and drops the report otherwise. The value of </w:t>
            </w:r>
            <w:r>
              <w:rPr>
                <w:rFonts w:hint="eastAsia" w:ascii="Times New Roman" w:hAnsi="Times New Roman" w:cs="Times New Roman"/>
                <w:color w:val="000000" w:themeColor="text1"/>
                <w:sz w:val="20"/>
                <w:szCs w:val="20"/>
                <w:lang w:val="en-US" w:eastAsia="zh-CN"/>
                <w14:textFill>
                  <w14:solidFill>
                    <w14:schemeClr w14:val="tx1"/>
                  </w14:solidFill>
                </w14:textFill>
              </w:rPr>
              <w:t>K</w:t>
            </w:r>
            <w:r>
              <w:rPr>
                <w:rFonts w:hint="default" w:ascii="Times New Roman" w:hAnsi="Times New Roman" w:cs="Times New Roman"/>
                <w:color w:val="000000" w:themeColor="text1"/>
                <w:sz w:val="20"/>
                <w:szCs w:val="20"/>
                <w:vertAlign w:val="subscript"/>
                <w14:textFill>
                  <w14:solidFill>
                    <w14:schemeClr w14:val="tx1"/>
                  </w14:solidFill>
                </w14:textFill>
              </w:rPr>
              <w:t>BM</w:t>
            </w:r>
            <w:r>
              <w:rPr>
                <w:rFonts w:hint="default" w:ascii="Times New Roman" w:hAnsi="Times New Roman" w:cs="Times New Roman"/>
                <w:color w:val="000000" w:themeColor="text1"/>
                <w:sz w:val="20"/>
                <w:szCs w:val="20"/>
                <w14:textFill>
                  <w14:solidFill>
                    <w14:schemeClr w14:val="tx1"/>
                  </w14:solidFill>
                </w14:textFill>
              </w:rPr>
              <w:t xml:space="preserve"> is indicated by UE capability.</w:t>
            </w:r>
          </w:p>
          <w:p w14:paraId="7FB05731">
            <w:pPr>
              <w:spacing w:after="180" w:line="240" w:lineRule="exact"/>
              <w:rPr>
                <w:rFonts w:hint="default" w:ascii="Times New Roman" w:hAnsi="Times New Roman" w:eastAsia="等线" w:cs="Times New Roman"/>
                <w:bCs/>
                <w:iCs/>
                <w:sz w:val="20"/>
                <w:szCs w:val="20"/>
                <w:vertAlign w:val="baseline"/>
                <w:lang w:val="en-US" w:eastAsia="zh-CN"/>
              </w:rPr>
            </w:pPr>
          </w:p>
        </w:tc>
      </w:tr>
    </w:tbl>
    <w:p w14:paraId="38FDFB44">
      <w:pPr>
        <w:spacing w:after="180" w:line="240" w:lineRule="exact"/>
        <w:rPr>
          <w:rFonts w:hint="eastAsia" w:ascii="Times New Roman" w:hAnsi="Times New Roman" w:eastAsia="等线"/>
          <w:bCs/>
          <w:iCs/>
          <w:sz w:val="20"/>
          <w:szCs w:val="20"/>
          <w:lang w:val="en-US" w:eastAsia="zh-CN"/>
        </w:rPr>
      </w:pPr>
    </w:p>
    <w:p w14:paraId="3545862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case 2, it is proposed that the measurement period is related with K(number of samples)*N*P, i.e. M is removed, since both M and K are the number of samples. </w:t>
      </w:r>
    </w:p>
    <w:p w14:paraId="6029DEBF">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In RAN4 #114 meeting, it was agreed that i</w:t>
      </w:r>
      <w:r>
        <w:rPr>
          <w:rFonts w:hint="eastAsia" w:ascii="Times New Roman" w:hAnsi="Times New Roman"/>
          <w:sz w:val="20"/>
          <w:szCs w:val="20"/>
          <w:lang w:val="en-US" w:eastAsia="ja-JP"/>
        </w:rPr>
        <w:t>f RSRP and beam ID are reported</w:t>
      </w:r>
      <w:r>
        <w:rPr>
          <w:rFonts w:hint="eastAsia" w:ascii="Times New Roman" w:hAnsi="Times New Roman"/>
          <w:sz w:val="20"/>
          <w:szCs w:val="20"/>
          <w:lang w:val="en-US" w:eastAsia="zh-CN"/>
        </w:rPr>
        <w:t xml:space="preserve">, RSRP accuracy and Beam ID prediction accuracy will be the KPIs. We think the successful rate for the correct prediction is also applied for the case that both </w:t>
      </w:r>
      <w:r>
        <w:rPr>
          <w:rFonts w:hint="eastAsia" w:ascii="Times New Roman" w:hAnsi="Times New Roman"/>
          <w:sz w:val="20"/>
          <w:szCs w:val="20"/>
          <w:lang w:val="en-US" w:eastAsia="ja-JP"/>
        </w:rPr>
        <w:t>RSRP and beam ID are reported</w:t>
      </w:r>
      <w:r>
        <w:rPr>
          <w:rFonts w:hint="eastAsia" w:ascii="Times New Roman" w:hAnsi="Times New Roman"/>
          <w:sz w:val="20"/>
          <w:szCs w:val="20"/>
          <w:lang w:val="en-US" w:eastAsia="zh-CN"/>
        </w:rPr>
        <w:t xml:space="preserve">. Some companies argue that with RSRP accuracy requirements, no need to apply beam ID prediction accuracy requirements. In our view, it depends on how to define the RSRP accuracy requirements. When the RSRP requirements are defined very tight, if UE pass the RSRP accuracy test, it is reasonable to assume that the beam prediction performance can also be guaranteed. In this case. No need to apply beam ID prediction accuracy. However, when the RSRP requirements are defined not very tight, e.g. with large margin, even if UE pass the RSRP accuracy test, the beam prediction performance cannot be guaranteed. In this case, beam ID prediction accuracy requirements need to be applied. Normally, a certain margin will be considered in the RSRP accuracy requirements. With above consdieration, it is preferred that the successful rate for the correct prediction is also applied for the case that both </w:t>
      </w:r>
      <w:r>
        <w:rPr>
          <w:rFonts w:hint="eastAsia" w:ascii="Times New Roman" w:hAnsi="Times New Roman"/>
          <w:sz w:val="20"/>
          <w:szCs w:val="20"/>
          <w:lang w:val="en-US" w:eastAsia="ja-JP"/>
        </w:rPr>
        <w:t>RSRP and beam ID are reported</w:t>
      </w:r>
      <w:r>
        <w:rPr>
          <w:rFonts w:hint="eastAsia" w:ascii="Times New Roman" w:hAnsi="Times New Roman"/>
          <w:sz w:val="20"/>
          <w:szCs w:val="20"/>
          <w:lang w:val="en-US" w:eastAsia="zh-CN"/>
        </w:rPr>
        <w:t>.</w:t>
      </w:r>
    </w:p>
    <w:p w14:paraId="004AC65F">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b/>
          <w:bCs/>
          <w:i/>
          <w:iCs/>
          <w:sz w:val="20"/>
          <w:szCs w:val="20"/>
          <w:lang w:val="en-US" w:eastAsia="zh-CN"/>
        </w:rPr>
        <w:t xml:space="preserve">Proposal 2: for the case that both </w:t>
      </w:r>
      <w:r>
        <w:rPr>
          <w:rFonts w:hint="eastAsia" w:ascii="Times New Roman" w:hAnsi="Times New Roman"/>
          <w:b/>
          <w:bCs/>
          <w:i/>
          <w:iCs/>
          <w:sz w:val="20"/>
          <w:szCs w:val="20"/>
          <w:lang w:val="en-US" w:eastAsia="ja-JP"/>
        </w:rPr>
        <w:t>RSRP and beam ID are reported</w:t>
      </w:r>
      <w:r>
        <w:rPr>
          <w:rFonts w:hint="eastAsia" w:ascii="Times New Roman" w:hAnsi="Times New Roman"/>
          <w:b/>
          <w:bCs/>
          <w:i/>
          <w:iCs/>
          <w:sz w:val="20"/>
          <w:szCs w:val="20"/>
          <w:lang w:val="en-US" w:eastAsia="zh-CN"/>
        </w:rPr>
        <w:t xml:space="preserve">, it is proposed that both RSRP accuracy requirements and successful rate for the correct prediction are applied.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4A9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E6857B8">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2-2: </w:t>
            </w:r>
            <w:r>
              <w:rPr>
                <w:rFonts w:hint="default" w:ascii="Times New Roman" w:hAnsi="Times New Roman" w:eastAsia="游明朝" w:cs="Times New Roman"/>
                <w:b/>
                <w:sz w:val="20"/>
                <w:szCs w:val="20"/>
                <w:u w:val="single"/>
                <w:lang w:eastAsia="ja-JP"/>
              </w:rPr>
              <w:t>Absolute RSRP accuracy</w:t>
            </w:r>
            <w:r>
              <w:rPr>
                <w:rFonts w:hint="default" w:ascii="Times New Roman" w:hAnsi="Times New Roman" w:cs="Times New Roman"/>
                <w:b/>
                <w:sz w:val="20"/>
                <w:szCs w:val="20"/>
                <w:u w:val="single"/>
                <w:lang w:eastAsia="ko-KR"/>
              </w:rPr>
              <w:t xml:space="preserve"> </w:t>
            </w:r>
          </w:p>
          <w:p w14:paraId="1F3B4A81">
            <w:pPr>
              <w:spacing w:after="120"/>
              <w:rPr>
                <w:rFonts w:hint="default" w:ascii="Times New Roman" w:hAnsi="Times New Roman" w:cs="Times New Roman"/>
                <w:iCs/>
                <w:sz w:val="20"/>
                <w:szCs w:val="20"/>
                <w:lang w:eastAsia="zh-CN"/>
              </w:rPr>
            </w:pPr>
            <w:r>
              <w:rPr>
                <w:rFonts w:hint="default" w:ascii="Times New Roman" w:hAnsi="Times New Roman" w:cs="Times New Roman"/>
                <w:iCs/>
                <w:sz w:val="20"/>
                <w:szCs w:val="20"/>
                <w:lang w:eastAsia="zh-CN"/>
              </w:rPr>
              <w:t>Agreement:</w:t>
            </w:r>
          </w:p>
          <w:p w14:paraId="7FFA109E">
            <w:pPr>
              <w:pStyle w:val="13"/>
              <w:numPr>
                <w:ilvl w:val="0"/>
                <w:numId w:val="5"/>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Absolute RSRP accuracy requirement applies to Top-1 of predicted beams at least</w:t>
            </w:r>
          </w:p>
          <w:p w14:paraId="324A78C8">
            <w:pPr>
              <w:pStyle w:val="13"/>
              <w:numPr>
                <w:ilvl w:val="1"/>
                <w:numId w:val="5"/>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FFS whether to apply to other beams</w:t>
            </w:r>
          </w:p>
          <w:p w14:paraId="0C1CD7A6">
            <w:pPr>
              <w:rPr>
                <w:rFonts w:hint="default" w:ascii="Times New Roman" w:hAnsi="Times New Roman" w:eastAsia="游明朝" w:cs="Times New Roman"/>
                <w:sz w:val="20"/>
                <w:szCs w:val="20"/>
                <w:lang w:eastAsia="ja-JP"/>
              </w:rPr>
            </w:pPr>
          </w:p>
          <w:p w14:paraId="6F941344">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 </w:t>
            </w:r>
            <w:r>
              <w:rPr>
                <w:rFonts w:hint="default" w:ascii="Times New Roman" w:hAnsi="Times New Roman" w:eastAsia="游明朝" w:cs="Times New Roman"/>
                <w:b/>
                <w:sz w:val="20"/>
                <w:szCs w:val="20"/>
                <w:u w:val="single"/>
                <w:lang w:eastAsia="ja-JP"/>
              </w:rPr>
              <w:t>Relative RSRP accuracy</w:t>
            </w:r>
            <w:r>
              <w:rPr>
                <w:rFonts w:hint="default" w:ascii="Times New Roman" w:hAnsi="Times New Roman" w:cs="Times New Roman"/>
                <w:b/>
                <w:sz w:val="20"/>
                <w:szCs w:val="20"/>
                <w:u w:val="single"/>
                <w:lang w:eastAsia="ko-KR"/>
              </w:rPr>
              <w:t xml:space="preserve"> </w:t>
            </w:r>
          </w:p>
          <w:p w14:paraId="063BC05D">
            <w:pPr>
              <w:spacing w:after="12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14:paraId="6C8C662A">
            <w:pPr>
              <w:pStyle w:val="13"/>
              <w:numPr>
                <w:ilvl w:val="0"/>
                <w:numId w:val="6"/>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use the follow as baseline for further discussions, if the relative RSRP accuracy requirement is defined</w:t>
            </w:r>
          </w:p>
          <w:p w14:paraId="7DFBD4AE">
            <w:pPr>
              <w:pStyle w:val="13"/>
              <w:numPr>
                <w:ilvl w:val="1"/>
                <w:numId w:val="6"/>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6CC938E2">
            <w:pPr>
              <w:pStyle w:val="13"/>
              <w:numPr>
                <w:ilvl w:val="2"/>
                <w:numId w:val="6"/>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 xml:space="preserve">Reported L1-RSRP can be predicted, </w:t>
            </w:r>
          </w:p>
          <w:p w14:paraId="4C572324">
            <w:pPr>
              <w:pStyle w:val="13"/>
              <w:numPr>
                <w:ilvl w:val="2"/>
                <w:numId w:val="6"/>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reported L1-RSRP can be measured RSRP</w:t>
            </w:r>
          </w:p>
          <w:p w14:paraId="1D0A547B">
            <w:pPr>
              <w:pStyle w:val="13"/>
              <w:numPr>
                <w:ilvl w:val="1"/>
                <w:numId w:val="6"/>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Relative RSRP accuracy requirements apply for Case 1, and FFS on whether it can apply for Case 2</w:t>
            </w:r>
          </w:p>
          <w:p w14:paraId="2571BE11">
            <w:pPr>
              <w:spacing w:after="180" w:line="240" w:lineRule="exact"/>
              <w:rPr>
                <w:rFonts w:hint="default" w:ascii="Times New Roman" w:hAnsi="Times New Roman" w:eastAsia="宋体" w:cs="Times New Roman"/>
                <w:sz w:val="20"/>
                <w:szCs w:val="20"/>
                <w:vertAlign w:val="baseline"/>
                <w:lang w:val="en-US" w:eastAsia="zh-CN"/>
              </w:rPr>
            </w:pPr>
          </w:p>
        </w:tc>
      </w:tr>
    </w:tbl>
    <w:p w14:paraId="2EE87B14">
      <w:pPr>
        <w:spacing w:after="180" w:line="240" w:lineRule="exact"/>
        <w:rPr>
          <w:rFonts w:hint="default" w:ascii="Times New Roman" w:hAnsi="Times New Roman" w:eastAsia="宋体"/>
          <w:sz w:val="20"/>
          <w:szCs w:val="20"/>
          <w:lang w:val="en-US" w:eastAsia="zh-CN"/>
        </w:rPr>
      </w:pPr>
    </w:p>
    <w:p w14:paraId="537F436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FFS for relative RSRP accuracy for case 1 is whether reported L1-RSRP can be measured RSRP. RAN1 agreed that for report content of inference results for UE-sided model for BM-Case 1, the RSRP of predicted beam(s)in the report of inference results, is the predicted RSRP, where the predicted RSRP is based on AI/ML output. It is clear that measured RSRP are not allowed to report.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15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C269DF">
            <w:pPr>
              <w:spacing w:after="180" w:line="240" w:lineRule="exact"/>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bCs/>
                <w:iCs/>
                <w:sz w:val="20"/>
                <w:szCs w:val="20"/>
                <w:highlight w:val="green"/>
                <w:vertAlign w:val="baseline"/>
                <w:lang w:val="en-US" w:eastAsia="zh-CN"/>
              </w:rPr>
              <w:t xml:space="preserve">RAN1 agreements in </w:t>
            </w:r>
            <w:r>
              <w:rPr>
                <w:rFonts w:hint="default" w:ascii="Times New Roman" w:hAnsi="Times New Roman" w:eastAsia="等线" w:cs="Times New Roman"/>
                <w:sz w:val="20"/>
                <w:szCs w:val="20"/>
                <w:highlight w:val="green"/>
                <w:lang w:val="en-US" w:eastAsia="zh-CN"/>
              </w:rPr>
              <w:t>RAN1#120</w:t>
            </w:r>
          </w:p>
          <w:p w14:paraId="46C6C1CC">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DDC9A91">
            <w:pPr>
              <w:tabs>
                <w:tab w:val="left" w:pos="720"/>
              </w:tabs>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For report content of inference results for UE-sided model for BM-Case 1, the RSRP of predicted beam(s)in the report of inference results, is the predicted RSRP, where the predicted RSRP is based on AI/ML output.</w:t>
            </w:r>
          </w:p>
          <w:p w14:paraId="5640D3F3">
            <w:pPr>
              <w:rPr>
                <w:rFonts w:hint="default" w:ascii="Times New Roman" w:hAnsi="Times New Roman" w:eastAsia="等线" w:cs="Times New Roman"/>
                <w:sz w:val="20"/>
                <w:szCs w:val="20"/>
                <w:highlight w:val="green"/>
                <w:lang w:val="en-US" w:eastAsia="zh-CN"/>
              </w:rPr>
            </w:pPr>
            <w:r>
              <w:rPr>
                <w:rFonts w:hint="default" w:ascii="Times New Roman" w:hAnsi="Times New Roman" w:cs="Times New Roman"/>
                <w:sz w:val="20"/>
                <w:szCs w:val="20"/>
              </w:rPr>
              <w:t>Note: how to capture it in the spec is a separate discussion.</w:t>
            </w:r>
          </w:p>
        </w:tc>
      </w:tr>
    </w:tbl>
    <w:p w14:paraId="4B733949">
      <w:pPr>
        <w:spacing w:after="180" w:line="240" w:lineRule="exact"/>
        <w:rPr>
          <w:rFonts w:hint="eastAsia" w:ascii="Times New Roman" w:hAnsi="Times New Roman" w:eastAsia="等线"/>
          <w:bCs/>
          <w:iCs/>
          <w:sz w:val="20"/>
          <w:szCs w:val="20"/>
          <w:lang w:val="en-US" w:eastAsia="zh-CN"/>
        </w:rPr>
      </w:pPr>
    </w:p>
    <w:p w14:paraId="541422C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relative RSRP accuracy, it is proposed that the reported L1-RSRP cannot be measured RSRP, since RAN1 agreed that </w:t>
      </w:r>
      <w:r>
        <w:rPr>
          <w:rFonts w:hint="default" w:ascii="Times New Roman" w:hAnsi="Times New Roman" w:eastAsia="Times New Roman" w:cs="Times New Roman"/>
          <w:b/>
          <w:bCs w:val="0"/>
          <w:i/>
          <w:iCs w:val="0"/>
          <w:sz w:val="20"/>
          <w:szCs w:val="20"/>
          <w:lang w:eastAsia="zh-CN"/>
        </w:rPr>
        <w:t>the RSRP of predicted beam(s)in the report of inference results is the predicted RSRP</w:t>
      </w:r>
      <w:r>
        <w:rPr>
          <w:rFonts w:hint="eastAsia" w:ascii="Times New Roman" w:hAnsi="Times New Roman" w:eastAsia="Times New Roman" w:cs="Times New Roman"/>
          <w:b/>
          <w:bCs w:val="0"/>
          <w:i/>
          <w:iCs w:val="0"/>
          <w:sz w:val="20"/>
          <w:szCs w:val="20"/>
          <w:lang w:val="en-US" w:eastAsia="zh-CN"/>
        </w:rPr>
        <w:t xml:space="preserve"> which</w:t>
      </w:r>
      <w:r>
        <w:rPr>
          <w:rFonts w:hint="default" w:ascii="Times New Roman" w:hAnsi="Times New Roman" w:eastAsia="Times New Roman" w:cs="Times New Roman"/>
          <w:b/>
          <w:bCs w:val="0"/>
          <w:i/>
          <w:iCs w:val="0"/>
          <w:sz w:val="20"/>
          <w:szCs w:val="20"/>
          <w:lang w:eastAsia="zh-CN"/>
        </w:rPr>
        <w:t xml:space="preserve"> is based on AI/ML output.</w:t>
      </w:r>
    </w:p>
    <w:p w14:paraId="3931F8E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FFS is whether beam index n owns the largest reported value. As discussed above, RAN1 agree that only largest predicted RSRP is reported as absolute RSRP, other RSRP are reported as differential predicted RSRP with reference to the largest predicted RSRP. With the agreements, it is reasonable that beam index n owns the largest reported value.</w:t>
      </w:r>
    </w:p>
    <w:p w14:paraId="2C92FD8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relative RSRP accuracy, it is proposed that beam index n owns the largest reported value. </w:t>
      </w:r>
    </w:p>
    <w:p w14:paraId="3812064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above consideration, for case 1, the relative RSRP accuracy is proposed as (predicted L1-RSRP of beam index i - predicted L1-RSRP of beam index n) - (ground truth of L1-RSRP of beam index i - ground truth of L1-RSRP of beam index n), where the beam index n owns the largest reported value.</w:t>
      </w:r>
    </w:p>
    <w:p w14:paraId="173995D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BM case 1, it is proposed that </w:t>
      </w:r>
    </w:p>
    <w:p w14:paraId="3D5A61A8">
      <w:pPr>
        <w:numPr>
          <w:ilvl w:val="0"/>
          <w:numId w:val="7"/>
        </w:numPr>
        <w:spacing w:after="180" w:line="240" w:lineRule="exact"/>
        <w:ind w:left="420" w:leftChars="0" w:hanging="420" w:firstLineChars="0"/>
        <w:rPr>
          <w:rFonts w:hint="default"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The r</w:t>
      </w:r>
      <w:r>
        <w:rPr>
          <w:rFonts w:hint="eastAsia" w:ascii="Times New Roman" w:hAnsi="Times New Roman" w:eastAsia="等线"/>
          <w:b/>
          <w:bCs w:val="0"/>
          <w:i/>
          <w:iCs w:val="0"/>
          <w:color w:val="auto"/>
          <w:sz w:val="20"/>
          <w:szCs w:val="20"/>
          <w:lang w:val="en-US" w:eastAsia="zh-CN"/>
        </w:rPr>
        <w:t xml:space="preserve">elative RSRP accuracy for reported beams during inference reporting = (predicted L1-RSRP of beam index i - predicted L1-RSRP of beam index n) - (ground truth of L1-RSRP of beam index i - ground truth of L1-RSRP of beam index n), </w:t>
      </w:r>
      <w:r>
        <w:rPr>
          <w:rFonts w:hint="eastAsia" w:ascii="Times New Roman" w:hAnsi="Times New Roman" w:eastAsia="等线"/>
          <w:b/>
          <w:bCs w:val="0"/>
          <w:i/>
          <w:iCs w:val="0"/>
          <w:strike/>
          <w:dstrike w:val="0"/>
          <w:color w:val="auto"/>
          <w:sz w:val="20"/>
          <w:szCs w:val="20"/>
          <w:lang w:val="en-US" w:eastAsia="zh-CN"/>
        </w:rPr>
        <w:t>[</w:t>
      </w:r>
      <w:r>
        <w:rPr>
          <w:rFonts w:hint="eastAsia" w:ascii="Times New Roman" w:hAnsi="Times New Roman" w:eastAsia="等线"/>
          <w:b/>
          <w:bCs w:val="0"/>
          <w:i/>
          <w:iCs w:val="0"/>
          <w:color w:val="auto"/>
          <w:sz w:val="20"/>
          <w:szCs w:val="20"/>
          <w:lang w:val="en-US" w:eastAsia="zh-CN"/>
        </w:rPr>
        <w:t>where the beam index n owns the largest reported value</w:t>
      </w:r>
      <w:r>
        <w:rPr>
          <w:rFonts w:hint="eastAsia" w:ascii="Times New Roman" w:hAnsi="Times New Roman" w:eastAsia="等线"/>
          <w:b/>
          <w:bCs w:val="0"/>
          <w:i/>
          <w:iCs w:val="0"/>
          <w:strike/>
          <w:dstrike w:val="0"/>
          <w:color w:val="auto"/>
          <w:sz w:val="20"/>
          <w:szCs w:val="20"/>
          <w:lang w:val="en-US" w:eastAsia="zh-CN"/>
        </w:rPr>
        <w:t>]</w:t>
      </w:r>
    </w:p>
    <w:p w14:paraId="349AC89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BM case 2 is temporal downlink beam prediction for Set A of beams based on the historic measurement results of Set B of beams. The model output is the L1-RSRP prediction of furture N time instances with K beams for each time instances. According to RAN1 agreements on the inference report for BM case2, RSRP #1 of time instance #1 is absolute RSRP; and the remaining RSRP are differential RSRP with reference to the largest predicted RSRP corresponding to CRI or SSBRI #1 of time instance #1. Time instance #1 corresponds to the time instance indicated by the time instance indicator. Since multiple time instances are consdiered, the relative accuracy for BM case2 need to be updated to reflect different time instance. Based on above consideration, the relative accuracy for BM case2 is proposed as (predicted L1-RSRP of beam index i for time instance m - predicted L1-RSRP of beam index n) - (ground truth of L1-RSRP of beam index i for time instance m - ground truth of L1-RSRP of beam index n), where the beam index n owns the largest reported value, 1&lt;=m&lt;=M where M is the number of time instance. </w:t>
      </w:r>
    </w:p>
    <w:p w14:paraId="761E6003">
      <w:pPr>
        <w:spacing w:after="180" w:line="240" w:lineRule="exact"/>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 xml:space="preserve">Proposal 6: for </w:t>
      </w:r>
      <w:r>
        <w:rPr>
          <w:rFonts w:hint="eastAsia" w:ascii="Times New Roman" w:hAnsi="Times New Roman" w:eastAsia="等线"/>
          <w:b/>
          <w:bCs w:val="0"/>
          <w:i/>
          <w:iCs w:val="0"/>
          <w:color w:val="auto"/>
          <w:sz w:val="20"/>
          <w:szCs w:val="20"/>
          <w:lang w:val="en-US" w:eastAsia="zh-CN"/>
        </w:rPr>
        <w:t xml:space="preserve">BM case 2, it is proposed that </w:t>
      </w:r>
    </w:p>
    <w:p w14:paraId="675AAAC9">
      <w:pPr>
        <w:numPr>
          <w:ilvl w:val="0"/>
          <w:numId w:val="7"/>
        </w:numPr>
        <w:spacing w:after="180" w:line="240" w:lineRule="exact"/>
        <w:ind w:left="420" w:leftChars="0" w:hanging="420" w:firstLineChars="0"/>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color w:val="auto"/>
          <w:sz w:val="20"/>
          <w:szCs w:val="20"/>
          <w:lang w:val="en-US" w:eastAsia="zh-CN"/>
        </w:rPr>
        <w:t>The relative RSRP accuracy for reported beams during inference reporting = (predicted L1-RSRP of beam index i for time instance m - predicted L1-RSRP of beam index n) - (ground truth of L1-RSRP of beam index i for time instance m - ground truth of L1-RSRP of beam index n), where the beam index n owns the largest reported value among all the predicted beams. 1&lt;=m&lt;=M where M is the number of time instance</w:t>
      </w:r>
    </w:p>
    <w:p w14:paraId="5AB1DACB">
      <w:pPr>
        <w:spacing w:after="180" w:line="240" w:lineRule="exact"/>
        <w:rPr>
          <w:rFonts w:hint="eastAsia" w:ascii="Times New Roman" w:hAnsi="Times New Roman" w:eastAsia="等线"/>
          <w:b/>
          <w:bCs/>
          <w:i/>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sz w:val="20"/>
          <w:szCs w:val="20"/>
        </w:rPr>
        <w:t xml:space="preserve"> for beam management. The proposals are:</w:t>
      </w:r>
    </w:p>
    <w:p w14:paraId="6244287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case 2, it is proposed that the measurement period is related with K(number of samples)*N*P, i.e. M is removed, since both M and K are the number of samples. </w:t>
      </w:r>
    </w:p>
    <w:p w14:paraId="24D52CD4">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b/>
          <w:bCs/>
          <w:i/>
          <w:iCs/>
          <w:sz w:val="20"/>
          <w:szCs w:val="20"/>
          <w:lang w:val="en-US" w:eastAsia="zh-CN"/>
        </w:rPr>
        <w:t xml:space="preserve">Proposal 2: for the case that both </w:t>
      </w:r>
      <w:r>
        <w:rPr>
          <w:rFonts w:hint="eastAsia" w:ascii="Times New Roman" w:hAnsi="Times New Roman"/>
          <w:b/>
          <w:bCs/>
          <w:i/>
          <w:iCs/>
          <w:sz w:val="20"/>
          <w:szCs w:val="20"/>
          <w:lang w:val="en-US" w:eastAsia="ja-JP"/>
        </w:rPr>
        <w:t>RSRP and beam ID are reported</w:t>
      </w:r>
      <w:r>
        <w:rPr>
          <w:rFonts w:hint="eastAsia" w:ascii="Times New Roman" w:hAnsi="Times New Roman"/>
          <w:b/>
          <w:bCs/>
          <w:i/>
          <w:iCs/>
          <w:sz w:val="20"/>
          <w:szCs w:val="20"/>
          <w:lang w:val="en-US" w:eastAsia="zh-CN"/>
        </w:rPr>
        <w:t xml:space="preserve">, it is proposed that both RSRP accuracy requirements and successful rate for the correct prediction are applied.    </w:t>
      </w:r>
    </w:p>
    <w:p w14:paraId="15B9933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relative RSRP accuracy, it is proposed that the reported L1-RSRP cannot be measured RSRP, since RAN1 agreed that </w:t>
      </w:r>
      <w:r>
        <w:rPr>
          <w:rFonts w:hint="default" w:ascii="Times New Roman" w:hAnsi="Times New Roman" w:eastAsia="Times New Roman" w:cs="Times New Roman"/>
          <w:b/>
          <w:bCs w:val="0"/>
          <w:i/>
          <w:iCs w:val="0"/>
          <w:sz w:val="20"/>
          <w:szCs w:val="20"/>
          <w:lang w:eastAsia="zh-CN"/>
        </w:rPr>
        <w:t>the RSRP of predicted beam(s)in the report of inference results is the predicted RSRP</w:t>
      </w:r>
      <w:r>
        <w:rPr>
          <w:rFonts w:hint="eastAsia" w:ascii="Times New Roman" w:hAnsi="Times New Roman" w:eastAsia="Times New Roman" w:cs="Times New Roman"/>
          <w:b/>
          <w:bCs w:val="0"/>
          <w:i/>
          <w:iCs w:val="0"/>
          <w:sz w:val="20"/>
          <w:szCs w:val="20"/>
          <w:lang w:val="en-US" w:eastAsia="zh-CN"/>
        </w:rPr>
        <w:t xml:space="preserve"> which</w:t>
      </w:r>
      <w:r>
        <w:rPr>
          <w:rFonts w:hint="default" w:ascii="Times New Roman" w:hAnsi="Times New Roman" w:eastAsia="Times New Roman" w:cs="Times New Roman"/>
          <w:b/>
          <w:bCs w:val="0"/>
          <w:i/>
          <w:iCs w:val="0"/>
          <w:sz w:val="20"/>
          <w:szCs w:val="20"/>
          <w:lang w:eastAsia="zh-CN"/>
        </w:rPr>
        <w:t xml:space="preserve"> is based on AI/ML output.</w:t>
      </w:r>
    </w:p>
    <w:p w14:paraId="2A7E3E4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relative RSRP accuracy, it is proposed that beam index n owns the largest reported value. </w:t>
      </w:r>
    </w:p>
    <w:p w14:paraId="328D315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BM case 1, it is proposed that </w:t>
      </w:r>
    </w:p>
    <w:p w14:paraId="47A7F147">
      <w:pPr>
        <w:numPr>
          <w:ilvl w:val="0"/>
          <w:numId w:val="7"/>
        </w:numPr>
        <w:spacing w:after="180" w:line="240" w:lineRule="exact"/>
        <w:ind w:left="420" w:leftChars="0" w:hanging="420" w:firstLineChars="0"/>
        <w:rPr>
          <w:rFonts w:hint="default"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The r</w:t>
      </w:r>
      <w:r>
        <w:rPr>
          <w:rFonts w:hint="eastAsia" w:ascii="Times New Roman" w:hAnsi="Times New Roman" w:eastAsia="等线"/>
          <w:b/>
          <w:bCs w:val="0"/>
          <w:i/>
          <w:iCs w:val="0"/>
          <w:color w:val="auto"/>
          <w:sz w:val="20"/>
          <w:szCs w:val="20"/>
          <w:lang w:val="en-US" w:eastAsia="zh-CN"/>
        </w:rPr>
        <w:t xml:space="preserve">elative RSRP accuracy for reported beams during inference reporting = (predicted L1-RSRP of beam index i - predicted L1-RSRP of beam index n) - (ground truth of L1-RSRP of beam index i - ground truth of L1-RSRP of beam index n), </w:t>
      </w:r>
      <w:r>
        <w:rPr>
          <w:rFonts w:hint="eastAsia" w:ascii="Times New Roman" w:hAnsi="Times New Roman" w:eastAsia="等线"/>
          <w:b/>
          <w:bCs w:val="0"/>
          <w:i/>
          <w:iCs w:val="0"/>
          <w:strike/>
          <w:dstrike w:val="0"/>
          <w:color w:val="auto"/>
          <w:sz w:val="20"/>
          <w:szCs w:val="20"/>
          <w:lang w:val="en-US" w:eastAsia="zh-CN"/>
        </w:rPr>
        <w:t>[</w:t>
      </w:r>
      <w:r>
        <w:rPr>
          <w:rFonts w:hint="eastAsia" w:ascii="Times New Roman" w:hAnsi="Times New Roman" w:eastAsia="等线"/>
          <w:b/>
          <w:bCs w:val="0"/>
          <w:i/>
          <w:iCs w:val="0"/>
          <w:color w:val="auto"/>
          <w:sz w:val="20"/>
          <w:szCs w:val="20"/>
          <w:lang w:val="en-US" w:eastAsia="zh-CN"/>
        </w:rPr>
        <w:t>where the beam index n owns the largest reported value</w:t>
      </w:r>
      <w:r>
        <w:rPr>
          <w:rFonts w:hint="eastAsia" w:ascii="Times New Roman" w:hAnsi="Times New Roman" w:eastAsia="等线"/>
          <w:b/>
          <w:bCs w:val="0"/>
          <w:i/>
          <w:iCs w:val="0"/>
          <w:strike/>
          <w:dstrike w:val="0"/>
          <w:color w:val="auto"/>
          <w:sz w:val="20"/>
          <w:szCs w:val="20"/>
          <w:lang w:val="en-US" w:eastAsia="zh-CN"/>
        </w:rPr>
        <w:t>]</w:t>
      </w:r>
    </w:p>
    <w:p w14:paraId="6E0BC86A">
      <w:pPr>
        <w:spacing w:after="180" w:line="240" w:lineRule="exact"/>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 xml:space="preserve">Proposal 6: for </w:t>
      </w:r>
      <w:r>
        <w:rPr>
          <w:rFonts w:hint="eastAsia" w:ascii="Times New Roman" w:hAnsi="Times New Roman" w:eastAsia="等线"/>
          <w:b/>
          <w:bCs w:val="0"/>
          <w:i/>
          <w:iCs w:val="0"/>
          <w:color w:val="auto"/>
          <w:sz w:val="20"/>
          <w:szCs w:val="20"/>
          <w:lang w:val="en-US" w:eastAsia="zh-CN"/>
        </w:rPr>
        <w:t xml:space="preserve">BM case 2, it is proposed that </w:t>
      </w:r>
    </w:p>
    <w:p w14:paraId="24A26903">
      <w:pPr>
        <w:numPr>
          <w:ilvl w:val="0"/>
          <w:numId w:val="7"/>
        </w:numPr>
        <w:spacing w:after="180" w:line="240" w:lineRule="exact"/>
        <w:ind w:left="420" w:leftChars="0" w:hanging="420" w:firstLineChars="0"/>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color w:val="auto"/>
          <w:sz w:val="20"/>
          <w:szCs w:val="20"/>
          <w:lang w:val="en-US" w:eastAsia="zh-CN"/>
        </w:rPr>
        <w:t>The relative RSRP accuracy for reported beams during inference reporting = (predicted L1-RSRP of beam index i for time instance m - predicted L1-RSRP of beam index n) - (ground truth of L1-RSRP of beam index i for time instance m - ground truth of L1-RSRP of beam index n), where the beam index n owns the largest reported value among all the predicted beams. 1&lt;=m&lt;=M where M is the number of time instance</w:t>
      </w:r>
    </w:p>
    <w:p w14:paraId="07484028">
      <w:pPr>
        <w:tabs>
          <w:tab w:val="left" w:pos="1134"/>
        </w:tabs>
        <w:spacing w:after="180" w:line="240" w:lineRule="exact"/>
        <w:rPr>
          <w:rFonts w:hint="eastAsia" w:ascii="Times New Roman" w:hAnsi="Times New Roman"/>
          <w:sz w:val="20"/>
          <w:szCs w:val="20"/>
        </w:rPr>
      </w:pPr>
      <w:bookmarkStart w:id="8" w:name="_GoBack"/>
      <w:bookmarkEnd w:id="8"/>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1791BBB">
      <w:pPr>
        <w:pStyle w:val="15"/>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5"/>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4D4D083F">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R4-2514631</w:t>
      </w:r>
      <w:r>
        <w:rPr>
          <w:rFonts w:hint="eastAsia" w:ascii="Times" w:hAnsi="Times" w:eastAsia="宋体"/>
          <w:b w:val="0"/>
          <w:sz w:val="20"/>
          <w:lang w:val="en-US" w:eastAsia="zh-CN"/>
        </w:rPr>
        <w:t>, WF on [116bis][112] R19 AI for air interface</w:t>
      </w:r>
      <w:r>
        <w:rPr>
          <w:rFonts w:hint="eastAsia" w:ascii="Times" w:hAnsi="Times" w:eastAsia="宋体"/>
          <w:b w:val="0"/>
          <w:sz w:val="20"/>
          <w:lang w:eastAsia="zh-CN"/>
        </w:rPr>
        <w:t>, Qualcomm Incorporated</w:t>
      </w:r>
    </w:p>
    <w:p w14:paraId="6B6A316C">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31794DBD">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53BFF7BE">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5"/>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5"/>
        <w:framePr w:wrap="auto" w:vAnchor="margin" w:hAnchor="text" w:yAlign="inline"/>
        <w:ind w:right="400"/>
        <w:jc w:val="both"/>
        <w:rPr>
          <w:rFonts w:ascii="Times" w:hAnsi="Times" w:eastAsia="宋体"/>
          <w:b w:val="0"/>
          <w:sz w:val="20"/>
          <w:lang w:eastAsia="zh-CN"/>
        </w:rPr>
      </w:pPr>
    </w:p>
    <w:p w14:paraId="3E9138E2">
      <w:pPr>
        <w:pStyle w:val="15"/>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49CE223"/>
    <w:multiLevelType w:val="multilevel"/>
    <w:tmpl w:val="049CE2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6">
    <w:nsid w:val="710173C8"/>
    <w:multiLevelType w:val="multilevel"/>
    <w:tmpl w:val="710173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2"/>
  </w:num>
  <w:num w:numId="4">
    <w:abstractNumId w:val="4"/>
  </w:num>
  <w:num w:numId="5">
    <w:abstractNumId w:val="6"/>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41E7AB7"/>
    <w:rsid w:val="04B0587E"/>
    <w:rsid w:val="05FD1662"/>
    <w:rsid w:val="063103EA"/>
    <w:rsid w:val="065345EF"/>
    <w:rsid w:val="07AF30A6"/>
    <w:rsid w:val="084A6C23"/>
    <w:rsid w:val="08C01BD2"/>
    <w:rsid w:val="0A12645E"/>
    <w:rsid w:val="0A7A49BE"/>
    <w:rsid w:val="0AF12355"/>
    <w:rsid w:val="0BDF4286"/>
    <w:rsid w:val="0CFD51A3"/>
    <w:rsid w:val="0DE85960"/>
    <w:rsid w:val="0E2315D2"/>
    <w:rsid w:val="0EB3632D"/>
    <w:rsid w:val="0EEF4E8D"/>
    <w:rsid w:val="0FDE2595"/>
    <w:rsid w:val="0FE50EF5"/>
    <w:rsid w:val="107700EF"/>
    <w:rsid w:val="13156148"/>
    <w:rsid w:val="151A3F0B"/>
    <w:rsid w:val="15685863"/>
    <w:rsid w:val="156D67CC"/>
    <w:rsid w:val="15774DC7"/>
    <w:rsid w:val="158970AB"/>
    <w:rsid w:val="15C5068C"/>
    <w:rsid w:val="16C20D68"/>
    <w:rsid w:val="16F371B0"/>
    <w:rsid w:val="17EE3251"/>
    <w:rsid w:val="1869036D"/>
    <w:rsid w:val="18C26AAD"/>
    <w:rsid w:val="19D35C0A"/>
    <w:rsid w:val="1A4B52AF"/>
    <w:rsid w:val="1B097409"/>
    <w:rsid w:val="1B8C2C7D"/>
    <w:rsid w:val="1BDE38AF"/>
    <w:rsid w:val="1C79747B"/>
    <w:rsid w:val="1EBD2056"/>
    <w:rsid w:val="200B553B"/>
    <w:rsid w:val="21A25EC1"/>
    <w:rsid w:val="21CD1190"/>
    <w:rsid w:val="22C91E20"/>
    <w:rsid w:val="239448A4"/>
    <w:rsid w:val="24BB4727"/>
    <w:rsid w:val="250671CD"/>
    <w:rsid w:val="25830931"/>
    <w:rsid w:val="259C54CD"/>
    <w:rsid w:val="27BB3844"/>
    <w:rsid w:val="295E6B72"/>
    <w:rsid w:val="2E263656"/>
    <w:rsid w:val="308E7578"/>
    <w:rsid w:val="3159659D"/>
    <w:rsid w:val="31C72739"/>
    <w:rsid w:val="32420EA7"/>
    <w:rsid w:val="3295408B"/>
    <w:rsid w:val="36311397"/>
    <w:rsid w:val="36915B95"/>
    <w:rsid w:val="372F00FC"/>
    <w:rsid w:val="39696DC2"/>
    <w:rsid w:val="397B647A"/>
    <w:rsid w:val="39DC502A"/>
    <w:rsid w:val="3A2D7A1A"/>
    <w:rsid w:val="3A621190"/>
    <w:rsid w:val="3A692ADF"/>
    <w:rsid w:val="3A923B26"/>
    <w:rsid w:val="3ACA3C80"/>
    <w:rsid w:val="3ADD5C61"/>
    <w:rsid w:val="3CA05E05"/>
    <w:rsid w:val="3D0535AB"/>
    <w:rsid w:val="3DEB4836"/>
    <w:rsid w:val="3DEF01B7"/>
    <w:rsid w:val="3F7129B6"/>
    <w:rsid w:val="3FB76397"/>
    <w:rsid w:val="40905E46"/>
    <w:rsid w:val="41C815FA"/>
    <w:rsid w:val="43FC159A"/>
    <w:rsid w:val="45185DAE"/>
    <w:rsid w:val="4582291E"/>
    <w:rsid w:val="46A636F7"/>
    <w:rsid w:val="47F77D5E"/>
    <w:rsid w:val="4815134F"/>
    <w:rsid w:val="49574F07"/>
    <w:rsid w:val="4B525B6F"/>
    <w:rsid w:val="4BF70D1F"/>
    <w:rsid w:val="4C147660"/>
    <w:rsid w:val="4C9C083E"/>
    <w:rsid w:val="4D115B26"/>
    <w:rsid w:val="4D3D03C8"/>
    <w:rsid w:val="4D4D0662"/>
    <w:rsid w:val="4D85114F"/>
    <w:rsid w:val="4F234726"/>
    <w:rsid w:val="519613CC"/>
    <w:rsid w:val="5217567C"/>
    <w:rsid w:val="549E0D64"/>
    <w:rsid w:val="563034C0"/>
    <w:rsid w:val="566930C6"/>
    <w:rsid w:val="570617B9"/>
    <w:rsid w:val="57B0086C"/>
    <w:rsid w:val="5879537F"/>
    <w:rsid w:val="5999038C"/>
    <w:rsid w:val="5A715FC6"/>
    <w:rsid w:val="5A8626CC"/>
    <w:rsid w:val="5AC558FB"/>
    <w:rsid w:val="5AC66592"/>
    <w:rsid w:val="5B2B0B23"/>
    <w:rsid w:val="5CBC141D"/>
    <w:rsid w:val="5D0B4E13"/>
    <w:rsid w:val="5DE0757A"/>
    <w:rsid w:val="5DE63D68"/>
    <w:rsid w:val="5E145FE7"/>
    <w:rsid w:val="5E2B562E"/>
    <w:rsid w:val="5E47553D"/>
    <w:rsid w:val="5E6261E1"/>
    <w:rsid w:val="5ED80E84"/>
    <w:rsid w:val="62A95749"/>
    <w:rsid w:val="62D046AC"/>
    <w:rsid w:val="634877EE"/>
    <w:rsid w:val="644D521F"/>
    <w:rsid w:val="65674A25"/>
    <w:rsid w:val="68CA01FA"/>
    <w:rsid w:val="69567192"/>
    <w:rsid w:val="69E2252C"/>
    <w:rsid w:val="6A52659E"/>
    <w:rsid w:val="6B870356"/>
    <w:rsid w:val="6BE35B73"/>
    <w:rsid w:val="6C107A65"/>
    <w:rsid w:val="6CCE4B92"/>
    <w:rsid w:val="6D092287"/>
    <w:rsid w:val="6D205895"/>
    <w:rsid w:val="6D7E0FF0"/>
    <w:rsid w:val="6DF758F9"/>
    <w:rsid w:val="731743ED"/>
    <w:rsid w:val="74126C56"/>
    <w:rsid w:val="74C23D1D"/>
    <w:rsid w:val="75886832"/>
    <w:rsid w:val="773771F4"/>
    <w:rsid w:val="7738712D"/>
    <w:rsid w:val="79263F52"/>
    <w:rsid w:val="7AA34743"/>
    <w:rsid w:val="7AC06311"/>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AN"/>
    <w:basedOn w:val="19"/>
    <w:qFormat/>
    <w:uiPriority w:val="0"/>
    <w:pPr>
      <w:ind w:left="851" w:hanging="851"/>
    </w:pPr>
  </w:style>
  <w:style w:type="paragraph" w:customStyle="1" w:styleId="21">
    <w:name w:val="B1"/>
    <w:basedOn w:val="5"/>
    <w:qFormat/>
    <w:uiPriority w:val="0"/>
  </w:style>
  <w:style w:type="paragraph" w:customStyle="1" w:styleId="22">
    <w:name w:val="B2"/>
    <w:basedOn w:val="4"/>
    <w:qFormat/>
    <w:uiPriority w:val="0"/>
  </w:style>
  <w:style w:type="paragraph" w:customStyle="1" w:styleId="23">
    <w:name w:val="B3"/>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2025-11-07T08:06:33Z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